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EF388" w14:textId="77777777" w:rsidR="001B120E" w:rsidRPr="00086489" w:rsidRDefault="001B120E" w:rsidP="00533DB3">
      <w:pPr>
        <w:spacing w:after="0" w:line="240" w:lineRule="auto"/>
        <w:jc w:val="center"/>
        <w:rPr>
          <w:rFonts w:asciiTheme="minorHAnsi" w:hAnsiTheme="minorHAnsi" w:cs="Times New Roman"/>
          <w:b/>
          <w:sz w:val="28"/>
          <w:szCs w:val="24"/>
        </w:rPr>
      </w:pPr>
      <w:r w:rsidRPr="00086489">
        <w:rPr>
          <w:rFonts w:asciiTheme="minorHAnsi" w:hAnsiTheme="minorHAnsi" w:cs="Times New Roman"/>
          <w:b/>
          <w:sz w:val="28"/>
          <w:szCs w:val="24"/>
        </w:rPr>
        <w:t xml:space="preserve">ZOZNAM </w:t>
      </w:r>
      <w:r w:rsidR="00804F0D" w:rsidRPr="00086489">
        <w:rPr>
          <w:rFonts w:asciiTheme="minorHAnsi" w:hAnsiTheme="minorHAnsi" w:cs="Times New Roman"/>
          <w:b/>
          <w:sz w:val="28"/>
          <w:szCs w:val="24"/>
        </w:rPr>
        <w:t>INÝCH ÚDAJOV RELEVANTNÝCH K</w:t>
      </w:r>
      <w:r w:rsidR="006814AA" w:rsidRPr="00086489">
        <w:rPr>
          <w:rFonts w:asciiTheme="minorHAnsi" w:hAnsiTheme="minorHAnsi" w:cs="Times New Roman"/>
          <w:b/>
          <w:sz w:val="28"/>
          <w:szCs w:val="24"/>
        </w:rPr>
        <w:t> HORIZONTÁLNEMU PR</w:t>
      </w:r>
      <w:bookmarkStart w:id="0" w:name="_GoBack"/>
      <w:bookmarkEnd w:id="0"/>
      <w:r w:rsidR="006814AA" w:rsidRPr="00086489">
        <w:rPr>
          <w:rFonts w:asciiTheme="minorHAnsi" w:hAnsiTheme="minorHAnsi" w:cs="Times New Roman"/>
          <w:b/>
          <w:sz w:val="28"/>
          <w:szCs w:val="24"/>
        </w:rPr>
        <w:t>ICÍPU</w:t>
      </w:r>
      <w:r w:rsidR="00804F0D" w:rsidRPr="00086489">
        <w:rPr>
          <w:rFonts w:asciiTheme="minorHAnsi" w:hAnsiTheme="minorHAnsi" w:cs="Times New Roman"/>
          <w:b/>
          <w:sz w:val="28"/>
          <w:szCs w:val="24"/>
        </w:rPr>
        <w:t xml:space="preserve"> ROVNOSTI MUŽOV A ŽIEN A NEDISKRIMINÁCIE</w:t>
      </w:r>
    </w:p>
    <w:p w14:paraId="48819AAC" w14:textId="77777777" w:rsidR="00426C14" w:rsidRPr="00086489" w:rsidRDefault="00426C14" w:rsidP="00175376">
      <w:pPr>
        <w:spacing w:after="0" w:line="240" w:lineRule="auto"/>
        <w:rPr>
          <w:rFonts w:asciiTheme="minorHAnsi" w:hAnsiTheme="minorHAnsi"/>
          <w:b/>
          <w:sz w:val="2"/>
          <w:szCs w:val="24"/>
        </w:rPr>
      </w:pPr>
    </w:p>
    <w:p w14:paraId="2F17927A" w14:textId="77777777" w:rsidR="00D12133" w:rsidRPr="00086489" w:rsidRDefault="00D12133" w:rsidP="00D12133">
      <w:pPr>
        <w:spacing w:after="120"/>
        <w:rPr>
          <w:rFonts w:asciiTheme="minorHAnsi" w:hAnsiTheme="minorHAnsi"/>
          <w:b/>
          <w:sz w:val="28"/>
          <w:szCs w:val="24"/>
        </w:rPr>
      </w:pPr>
    </w:p>
    <w:p w14:paraId="365B0B91" w14:textId="63EDDC15" w:rsidR="00804F0D" w:rsidRPr="00086489" w:rsidRDefault="00804F0D" w:rsidP="00804F0D">
      <w:pPr>
        <w:pStyle w:val="Odsekzoznamu1"/>
        <w:ind w:left="0"/>
        <w:jc w:val="both"/>
        <w:rPr>
          <w:rFonts w:asciiTheme="minorHAnsi" w:hAnsiTheme="minorHAnsi"/>
        </w:rPr>
      </w:pPr>
      <w:r w:rsidRPr="00086489">
        <w:rPr>
          <w:rFonts w:asciiTheme="minorHAnsi" w:hAnsiTheme="minorHAnsi"/>
        </w:rPr>
        <w:t>Projekt, ktorý je predmetom žiadosti o NFP, musí byť v súlade s horizontálnymi princípmi rovnosti mužov</w:t>
      </w:r>
      <w:r w:rsidR="00D82EDD" w:rsidRPr="00086489">
        <w:rPr>
          <w:rFonts w:asciiTheme="minorHAnsi" w:hAnsiTheme="minorHAnsi"/>
        </w:rPr>
        <w:t xml:space="preserve"> </w:t>
      </w:r>
      <w:r w:rsidRPr="00086489">
        <w:rPr>
          <w:rFonts w:asciiTheme="minorHAnsi" w:hAnsiTheme="minorHAnsi"/>
        </w:rPr>
        <w:t>a žien a nediskriminácia, ktoré sú definované v Partnerskej dohode na roky 2014 – 2020 a v čl. 7 a 8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w:t>
      </w:r>
      <w:r w:rsidR="00D82EDD" w:rsidRPr="00086489">
        <w:rPr>
          <w:rFonts w:asciiTheme="minorHAnsi" w:hAnsiTheme="minorHAnsi"/>
        </w:rPr>
        <w:t xml:space="preserve"> </w:t>
      </w:r>
      <w:r w:rsidRPr="00086489">
        <w:rPr>
          <w:rFonts w:asciiTheme="minorHAnsi" w:hAnsiTheme="minorHAnsi"/>
        </w:rPr>
        <w:t>č. 1083/2006 (ďalej len „ všeobecné nariadenie“).</w:t>
      </w:r>
    </w:p>
    <w:p w14:paraId="5DD78AD2" w14:textId="77777777" w:rsidR="00804F0D" w:rsidRPr="00086489" w:rsidRDefault="00804F0D" w:rsidP="00804F0D">
      <w:pPr>
        <w:pStyle w:val="Odsekzoznamu1"/>
        <w:ind w:left="0"/>
        <w:jc w:val="both"/>
        <w:rPr>
          <w:rFonts w:asciiTheme="minorHAnsi" w:hAnsiTheme="minorHAnsi"/>
        </w:rPr>
      </w:pPr>
    </w:p>
    <w:p w14:paraId="30F58FA1" w14:textId="1B3BEFC9" w:rsidR="00804F0D" w:rsidRPr="00086489" w:rsidRDefault="00804F0D" w:rsidP="00804F0D">
      <w:pPr>
        <w:pStyle w:val="Odsekzoznamu1"/>
        <w:ind w:left="0"/>
        <w:jc w:val="both"/>
        <w:rPr>
          <w:rFonts w:asciiTheme="minorHAnsi" w:hAnsiTheme="minorHAnsi"/>
        </w:rPr>
      </w:pPr>
      <w:r w:rsidRPr="00086489">
        <w:rPr>
          <w:rFonts w:asciiTheme="minorHAnsi" w:hAnsiTheme="minorHAnsi"/>
        </w:rPr>
        <w:t xml:space="preserve">Sledovanie tzv. „iných údajov“ je záväzné zo strany prijímateľa. Tieto údaje sú doplňujúce štatistické informácie pre potreby gestora HP. </w:t>
      </w:r>
      <w:r w:rsidRPr="00086489">
        <w:rPr>
          <w:rFonts w:asciiTheme="minorHAnsi" w:hAnsiTheme="minorHAnsi"/>
          <w:u w:val="single"/>
        </w:rPr>
        <w:t>Údaje nie sú sankcionovateľné avšak sú predmetom kontroly</w:t>
      </w:r>
      <w:r w:rsidRPr="00086489">
        <w:rPr>
          <w:rFonts w:asciiTheme="minorHAnsi" w:hAnsiTheme="minorHAnsi"/>
        </w:rPr>
        <w:t>. Prijímateľ pomoci sa</w:t>
      </w:r>
      <w:r w:rsidR="00D82EDD" w:rsidRPr="00086489">
        <w:rPr>
          <w:rFonts w:asciiTheme="minorHAnsi" w:hAnsiTheme="minorHAnsi"/>
        </w:rPr>
        <w:t xml:space="preserve"> </w:t>
      </w:r>
      <w:r w:rsidRPr="00086489">
        <w:rPr>
          <w:rFonts w:asciiTheme="minorHAnsi" w:hAnsiTheme="minorHAnsi"/>
        </w:rPr>
        <w:t>v rámci žiadosti o NFP zaväzuje pri čestnom prehlásení a následnom podpise zmluvy o poskytnutí NFP (v prípade ak je poskytovateľ a prijímateľ ten istý orgán jedná sa o rozhodnutie) uplatňovať dodržiavanie čl. 7  všeobecného nariadenia.</w:t>
      </w:r>
    </w:p>
    <w:p w14:paraId="5793D832" w14:textId="77777777" w:rsidR="009E274E" w:rsidRPr="00086489" w:rsidRDefault="009E274E" w:rsidP="00804F0D">
      <w:pPr>
        <w:pStyle w:val="Odsekzoznamu1"/>
        <w:ind w:left="0"/>
        <w:jc w:val="both"/>
        <w:rPr>
          <w:rFonts w:asciiTheme="minorHAnsi" w:hAnsiTheme="minorHAnsi"/>
        </w:rPr>
      </w:pPr>
    </w:p>
    <w:p w14:paraId="5DD9E5A8" w14:textId="77777777" w:rsidR="009E274E" w:rsidRPr="00086489" w:rsidRDefault="009E274E" w:rsidP="00804F0D">
      <w:pPr>
        <w:pStyle w:val="Odsekzoznamu1"/>
        <w:ind w:left="0"/>
        <w:jc w:val="both"/>
        <w:rPr>
          <w:rFonts w:asciiTheme="minorHAnsi" w:hAnsiTheme="minorHAnsi"/>
          <w:b/>
        </w:rPr>
      </w:pPr>
      <w:r w:rsidRPr="00086489">
        <w:rPr>
          <w:rFonts w:asciiTheme="minorHAnsi" w:hAnsiTheme="minorHAnsi"/>
        </w:rPr>
        <w:t xml:space="preserve">„Iné údaje“ sa budú sledovať až na úrovni projektu </w:t>
      </w:r>
      <w:r w:rsidR="000B3C87" w:rsidRPr="00086489">
        <w:rPr>
          <w:rFonts w:asciiTheme="minorHAnsi" w:hAnsiTheme="minorHAnsi"/>
        </w:rPr>
        <w:t>a</w:t>
      </w:r>
      <w:r w:rsidRPr="00086489">
        <w:rPr>
          <w:rFonts w:asciiTheme="minorHAnsi" w:hAnsiTheme="minorHAnsi"/>
        </w:rPr>
        <w:t xml:space="preserve"> budú priradené riadiacim orgánom. Žiadatelia „iné údaje“ v žiadosti o NFP neuvádzajú.</w:t>
      </w:r>
    </w:p>
    <w:p w14:paraId="0B4C42AA" w14:textId="77777777" w:rsidR="00804F0D" w:rsidRPr="00086489" w:rsidRDefault="00804F0D" w:rsidP="00804F0D">
      <w:pPr>
        <w:pStyle w:val="Odsekzoznamu1"/>
        <w:ind w:left="0"/>
        <w:jc w:val="both"/>
        <w:rPr>
          <w:rFonts w:asciiTheme="minorHAnsi" w:hAnsiTheme="minorHAnsi"/>
        </w:rPr>
      </w:pPr>
    </w:p>
    <w:p w14:paraId="07A62510" w14:textId="24D1530A" w:rsidR="00804F0D" w:rsidRPr="00086489" w:rsidRDefault="00804F0D" w:rsidP="00804F0D">
      <w:pPr>
        <w:pStyle w:val="Odsekzoznamu1"/>
        <w:ind w:left="0"/>
        <w:jc w:val="both"/>
        <w:rPr>
          <w:rFonts w:asciiTheme="minorHAnsi" w:hAnsiTheme="minorHAnsi"/>
          <w:b/>
        </w:rPr>
      </w:pPr>
      <w:r w:rsidRPr="00086489">
        <w:rPr>
          <w:rFonts w:asciiTheme="minorHAnsi" w:hAnsiTheme="minorHAnsi"/>
        </w:rPr>
        <w:t>Presnejšou špecifikáciou horizontálneho princípu rovnosti mužov a žien a nediskriminácia sa zaoberá príloha č</w:t>
      </w:r>
      <w:r w:rsidR="000A5167" w:rsidRPr="00086489">
        <w:rPr>
          <w:rFonts w:asciiTheme="minorHAnsi" w:hAnsiTheme="minorHAnsi"/>
        </w:rPr>
        <w:t xml:space="preserve">. 9 </w:t>
      </w:r>
      <w:r w:rsidR="000A5167" w:rsidRPr="00086489">
        <w:rPr>
          <w:rFonts w:asciiTheme="minorHAnsi" w:eastAsia="Times New Roman" w:hAnsiTheme="minorHAnsi"/>
          <w:lang w:eastAsia="en-US"/>
        </w:rPr>
        <w:t>Manuálu prípravy a implementácie projektu/časť pre žiadateľa</w:t>
      </w:r>
      <w:r w:rsidR="006814AA" w:rsidRPr="00086489">
        <w:rPr>
          <w:rFonts w:asciiTheme="minorHAnsi" w:hAnsiTheme="minorHAnsi"/>
        </w:rPr>
        <w:t>.</w:t>
      </w:r>
    </w:p>
    <w:p w14:paraId="0BE89E39" w14:textId="77777777" w:rsidR="00804F0D" w:rsidRPr="009E274E" w:rsidRDefault="00804F0D" w:rsidP="00D12133">
      <w:pPr>
        <w:spacing w:after="120"/>
        <w:rPr>
          <w:rFonts w:asciiTheme="minorHAnsi" w:hAnsiTheme="minorHAnsi"/>
          <w:b/>
          <w:sz w:val="28"/>
          <w:szCs w:val="24"/>
        </w:rPr>
      </w:pPr>
    </w:p>
    <w:p w14:paraId="760AA827" w14:textId="77777777" w:rsidR="00804F0D" w:rsidRDefault="00804F0D" w:rsidP="00D12133">
      <w:pPr>
        <w:spacing w:after="120"/>
        <w:rPr>
          <w:rFonts w:ascii="Arial Narrow" w:hAnsi="Arial Narrow"/>
          <w:b/>
          <w:sz w:val="28"/>
          <w:szCs w:val="24"/>
        </w:rPr>
      </w:pPr>
    </w:p>
    <w:p w14:paraId="11E1C9E5" w14:textId="77777777" w:rsidR="00804F0D" w:rsidRDefault="00804F0D" w:rsidP="00D12133">
      <w:pPr>
        <w:spacing w:after="120"/>
        <w:rPr>
          <w:rFonts w:ascii="Arial Narrow" w:hAnsi="Arial Narrow"/>
          <w:b/>
          <w:sz w:val="28"/>
          <w:szCs w:val="24"/>
        </w:rPr>
      </w:pPr>
    </w:p>
    <w:p w14:paraId="1E0B150F" w14:textId="77777777" w:rsidR="00804F0D" w:rsidRDefault="00804F0D" w:rsidP="00D12133">
      <w:pPr>
        <w:spacing w:after="120"/>
        <w:rPr>
          <w:rFonts w:ascii="Arial Narrow" w:hAnsi="Arial Narrow"/>
          <w:b/>
          <w:sz w:val="28"/>
          <w:szCs w:val="24"/>
        </w:rPr>
      </w:pPr>
    </w:p>
    <w:p w14:paraId="2A33A323" w14:textId="77777777" w:rsidR="00804F0D" w:rsidRDefault="00804F0D" w:rsidP="00D12133">
      <w:pPr>
        <w:spacing w:after="120"/>
        <w:rPr>
          <w:rFonts w:ascii="Arial Narrow" w:hAnsi="Arial Narrow"/>
          <w:b/>
          <w:sz w:val="28"/>
          <w:szCs w:val="24"/>
        </w:rPr>
      </w:pPr>
    </w:p>
    <w:p w14:paraId="1A064285" w14:textId="77777777" w:rsidR="00804F0D" w:rsidRDefault="00804F0D" w:rsidP="00D12133">
      <w:pPr>
        <w:spacing w:after="120"/>
        <w:rPr>
          <w:rFonts w:ascii="Arial Narrow" w:hAnsi="Arial Narrow"/>
          <w:b/>
          <w:sz w:val="28"/>
          <w:szCs w:val="24"/>
        </w:rPr>
      </w:pPr>
    </w:p>
    <w:p w14:paraId="7D32A2C2" w14:textId="77777777" w:rsidR="00804F0D" w:rsidRDefault="00804F0D" w:rsidP="00D12133">
      <w:pPr>
        <w:spacing w:after="120"/>
        <w:rPr>
          <w:rFonts w:ascii="Arial Narrow" w:hAnsi="Arial Narrow"/>
          <w:b/>
          <w:sz w:val="28"/>
          <w:szCs w:val="24"/>
        </w:rPr>
      </w:pPr>
    </w:p>
    <w:p w14:paraId="1A9AE065" w14:textId="77777777" w:rsidR="00804F0D" w:rsidRDefault="00804F0D" w:rsidP="00D12133">
      <w:pPr>
        <w:spacing w:after="120"/>
        <w:rPr>
          <w:rFonts w:ascii="Arial Narrow" w:hAnsi="Arial Narrow"/>
          <w:b/>
          <w:sz w:val="28"/>
          <w:szCs w:val="24"/>
        </w:rPr>
      </w:pPr>
    </w:p>
    <w:p w14:paraId="429F362B" w14:textId="77777777" w:rsidR="00804F0D" w:rsidRDefault="00804F0D" w:rsidP="00D12133">
      <w:pPr>
        <w:spacing w:after="120"/>
        <w:rPr>
          <w:rFonts w:ascii="Arial Narrow" w:hAnsi="Arial Narrow"/>
          <w:b/>
          <w:sz w:val="28"/>
          <w:szCs w:val="24"/>
        </w:rPr>
      </w:pPr>
    </w:p>
    <w:p w14:paraId="2F0BE284" w14:textId="77777777" w:rsidR="00804F0D" w:rsidRDefault="00804F0D" w:rsidP="00D12133">
      <w:pPr>
        <w:spacing w:after="120"/>
        <w:rPr>
          <w:rFonts w:ascii="Arial Narrow" w:hAnsi="Arial Narrow"/>
          <w:b/>
          <w:sz w:val="28"/>
          <w:szCs w:val="24"/>
        </w:rPr>
        <w:sectPr w:rsidR="00804F0D" w:rsidSect="00170C4B">
          <w:headerReference w:type="default" r:id="rId8"/>
          <w:footerReference w:type="default" r:id="rId9"/>
          <w:pgSz w:w="11906" w:h="16838"/>
          <w:pgMar w:top="1418" w:right="991" w:bottom="1418" w:left="1134" w:header="709" w:footer="709" w:gutter="0"/>
          <w:cols w:space="708"/>
          <w:docGrid w:linePitch="360"/>
        </w:sectPr>
      </w:pPr>
    </w:p>
    <w:p w14:paraId="75FDB4BF" w14:textId="77777777" w:rsidR="00804F0D" w:rsidRDefault="00804F0D" w:rsidP="00D12133">
      <w:pPr>
        <w:spacing w:after="120"/>
        <w:rPr>
          <w:rFonts w:ascii="Arial Narrow" w:hAnsi="Arial Narrow"/>
          <w:b/>
          <w:sz w:val="28"/>
          <w:szCs w:val="24"/>
        </w:rPr>
      </w:pPr>
    </w:p>
    <w:p w14:paraId="210BF894" w14:textId="77777777" w:rsidR="00D12133" w:rsidRDefault="00D12133" w:rsidP="00D12133">
      <w:pPr>
        <w:spacing w:after="0"/>
        <w:rPr>
          <w:rFonts w:ascii="Arial Narrow" w:hAnsi="Arial Narrow"/>
          <w:b/>
          <w:sz w:val="14"/>
          <w:szCs w:val="24"/>
        </w:rPr>
      </w:pPr>
    </w:p>
    <w:tbl>
      <w:tblPr>
        <w:tblW w:w="13892" w:type="dxa"/>
        <w:tblInd w:w="70" w:type="dxa"/>
        <w:tblCellMar>
          <w:left w:w="70" w:type="dxa"/>
          <w:right w:w="70" w:type="dxa"/>
        </w:tblCellMar>
        <w:tblLook w:val="04A0" w:firstRow="1" w:lastRow="0" w:firstColumn="1" w:lastColumn="0" w:noHBand="0" w:noVBand="1"/>
      </w:tblPr>
      <w:tblGrid>
        <w:gridCol w:w="721"/>
        <w:gridCol w:w="1807"/>
        <w:gridCol w:w="5501"/>
        <w:gridCol w:w="2103"/>
        <w:gridCol w:w="1420"/>
        <w:gridCol w:w="1207"/>
        <w:gridCol w:w="1133"/>
      </w:tblGrid>
      <w:tr w:rsidR="00386D67" w:rsidRPr="009E274E" w14:paraId="02DA37BF" w14:textId="77777777" w:rsidTr="00086489">
        <w:trPr>
          <w:trHeight w:val="454"/>
        </w:trPr>
        <w:tc>
          <w:tcPr>
            <w:tcW w:w="25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4BFC89" w14:textId="6A396E8D" w:rsidR="00386D67" w:rsidRPr="009E274E" w:rsidRDefault="009E274E" w:rsidP="00251F13">
            <w:pPr>
              <w:spacing w:after="0" w:line="240" w:lineRule="auto"/>
              <w:jc w:val="right"/>
              <w:rPr>
                <w:rFonts w:asciiTheme="minorHAnsi" w:eastAsia="Times New Roman" w:hAnsiTheme="minorHAnsi" w:cs="Times New Roman"/>
                <w:b/>
                <w:bCs/>
                <w:lang w:eastAsia="sk-SK"/>
              </w:rPr>
            </w:pPr>
            <w:r>
              <w:rPr>
                <w:rFonts w:asciiTheme="minorHAnsi" w:eastAsia="Times New Roman" w:hAnsiTheme="minorHAnsi" w:cs="Times New Roman"/>
                <w:b/>
                <w:bCs/>
                <w:lang w:eastAsia="sk-SK"/>
              </w:rPr>
              <w:t xml:space="preserve">Prioritná os </w:t>
            </w:r>
          </w:p>
        </w:tc>
        <w:tc>
          <w:tcPr>
            <w:tcW w:w="11364"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5240B81" w14:textId="38530FB5" w:rsidR="00386D67" w:rsidRPr="009E274E" w:rsidRDefault="004A68F0" w:rsidP="009E274E">
            <w:pPr>
              <w:spacing w:after="0" w:line="240" w:lineRule="auto"/>
              <w:rPr>
                <w:rFonts w:asciiTheme="minorHAnsi" w:eastAsia="Times New Roman" w:hAnsiTheme="minorHAnsi" w:cs="Times New Roman"/>
                <w:b/>
                <w:bCs/>
                <w:lang w:eastAsia="sk-SK"/>
              </w:rPr>
            </w:pPr>
            <w:r>
              <w:rPr>
                <w:rFonts w:cs="Arial"/>
                <w:bCs/>
                <w:color w:val="000000"/>
              </w:rPr>
              <w:t xml:space="preserve">2. </w:t>
            </w:r>
            <w:r w:rsidRPr="00273939">
              <w:rPr>
                <w:rFonts w:cs="Arial"/>
                <w:bCs/>
                <w:color w:val="000000"/>
              </w:rPr>
              <w:t>KVALITNÉ ŽIVOTNÉ PROSTREDIE</w:t>
            </w:r>
          </w:p>
        </w:tc>
      </w:tr>
      <w:tr w:rsidR="00386D67" w:rsidRPr="009E274E" w14:paraId="1BB93C2C" w14:textId="77777777" w:rsidTr="00086489">
        <w:trPr>
          <w:trHeight w:val="454"/>
        </w:trPr>
        <w:tc>
          <w:tcPr>
            <w:tcW w:w="25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9952D0" w14:textId="459FCF42" w:rsidR="00386D67" w:rsidRPr="009E274E" w:rsidRDefault="009E274E" w:rsidP="00251F13">
            <w:pPr>
              <w:spacing w:after="0" w:line="240" w:lineRule="auto"/>
              <w:jc w:val="right"/>
              <w:rPr>
                <w:rFonts w:asciiTheme="minorHAnsi" w:eastAsia="Times New Roman" w:hAnsiTheme="minorHAnsi" w:cs="Times New Roman"/>
                <w:b/>
                <w:bCs/>
                <w:lang w:eastAsia="sk-SK"/>
              </w:rPr>
            </w:pPr>
            <w:r>
              <w:rPr>
                <w:rFonts w:asciiTheme="minorHAnsi" w:eastAsia="Times New Roman" w:hAnsiTheme="minorHAnsi" w:cs="Times New Roman"/>
                <w:b/>
                <w:bCs/>
                <w:lang w:eastAsia="sk-SK"/>
              </w:rPr>
              <w:t xml:space="preserve">Investičná priorita </w:t>
            </w:r>
          </w:p>
        </w:tc>
        <w:tc>
          <w:tcPr>
            <w:tcW w:w="11364"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AA06C" w14:textId="4574AB2B" w:rsidR="00386D67" w:rsidRPr="004A68F0" w:rsidRDefault="004A68F0" w:rsidP="004A68F0">
            <w:pPr>
              <w:pStyle w:val="Odsekzoznamu"/>
              <w:spacing w:line="276" w:lineRule="auto"/>
              <w:ind w:left="0"/>
              <w:rPr>
                <w:rFonts w:ascii="Calibri" w:hAnsi="Calibri" w:cs="Arial"/>
                <w:sz w:val="22"/>
                <w:szCs w:val="22"/>
                <w:lang w:eastAsia="fr-BE"/>
              </w:rPr>
            </w:pPr>
            <w:r w:rsidRPr="00273939">
              <w:rPr>
                <w:rFonts w:ascii="Calibri" w:hAnsi="Calibri" w:cs="Arial"/>
                <w:sz w:val="22"/>
                <w:szCs w:val="22"/>
                <w:lang w:eastAsia="fr-BE"/>
              </w:rPr>
              <w:t>3. Zachovanie, ochrana, podpora a rozvoj prírodného a kultúrneho dedičstva (6c)</w:t>
            </w:r>
          </w:p>
        </w:tc>
      </w:tr>
      <w:tr w:rsidR="00386D67" w:rsidRPr="009E274E" w14:paraId="7357A6B9" w14:textId="77777777" w:rsidTr="00086489">
        <w:trPr>
          <w:trHeight w:val="454"/>
        </w:trPr>
        <w:tc>
          <w:tcPr>
            <w:tcW w:w="25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C4632BC" w14:textId="7C7FFAFC" w:rsidR="00386D67" w:rsidRPr="009E274E" w:rsidRDefault="009E274E" w:rsidP="00251F13">
            <w:pPr>
              <w:spacing w:after="0" w:line="240" w:lineRule="auto"/>
              <w:jc w:val="right"/>
              <w:rPr>
                <w:rFonts w:asciiTheme="minorHAnsi" w:eastAsia="Times New Roman" w:hAnsiTheme="minorHAnsi" w:cs="Times New Roman"/>
                <w:b/>
                <w:bCs/>
                <w:lang w:eastAsia="sk-SK"/>
              </w:rPr>
            </w:pPr>
            <w:r>
              <w:rPr>
                <w:rFonts w:asciiTheme="minorHAnsi" w:eastAsia="Times New Roman" w:hAnsiTheme="minorHAnsi" w:cs="Times New Roman"/>
                <w:b/>
                <w:bCs/>
                <w:lang w:eastAsia="sk-SK"/>
              </w:rPr>
              <w:t xml:space="preserve">Špecifický cieľ </w:t>
            </w:r>
          </w:p>
        </w:tc>
        <w:tc>
          <w:tcPr>
            <w:tcW w:w="11364"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152C78" w14:textId="283E6611" w:rsidR="00386D67" w:rsidRPr="009E274E" w:rsidRDefault="004A68F0" w:rsidP="009E274E">
            <w:pPr>
              <w:spacing w:after="0" w:line="240" w:lineRule="auto"/>
              <w:rPr>
                <w:rFonts w:asciiTheme="minorHAnsi" w:eastAsia="Times New Roman" w:hAnsiTheme="minorHAnsi" w:cs="Times New Roman"/>
                <w:b/>
                <w:bCs/>
                <w:lang w:eastAsia="sk-SK"/>
              </w:rPr>
            </w:pPr>
            <w:r w:rsidRPr="00273939">
              <w:rPr>
                <w:rFonts w:cs="Arial"/>
                <w:lang w:eastAsia="fr-BE"/>
              </w:rPr>
              <w:t xml:space="preserve">2.1 </w:t>
            </w:r>
            <w:r w:rsidRPr="00273939">
              <w:rPr>
                <w:rFonts w:cs="Arial"/>
                <w:bCs/>
                <w:color w:val="000000"/>
              </w:rPr>
              <w:t>Zvýšenie atraktívnosti kultúrneho a prírodného dedičstva pre obyvateľov a návštevníkov cezhraničného regiónu</w:t>
            </w:r>
          </w:p>
        </w:tc>
      </w:tr>
      <w:tr w:rsidR="00386D67" w:rsidRPr="009E274E" w14:paraId="12BD5A58" w14:textId="77777777" w:rsidTr="00086489">
        <w:trPr>
          <w:trHeight w:val="578"/>
        </w:trPr>
        <w:tc>
          <w:tcPr>
            <w:tcW w:w="7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A3EAB7" w14:textId="77777777" w:rsidR="00386D67" w:rsidRPr="00386D67" w:rsidRDefault="00386D67" w:rsidP="00386D67">
            <w:pPr>
              <w:spacing w:after="0" w:line="240" w:lineRule="auto"/>
              <w:jc w:val="center"/>
              <w:rPr>
                <w:rFonts w:asciiTheme="minorHAnsi" w:eastAsia="Times New Roman" w:hAnsiTheme="minorHAnsi" w:cs="Times New Roman"/>
                <w:b/>
                <w:bCs/>
                <w:lang w:eastAsia="sk-SK"/>
              </w:rPr>
            </w:pPr>
            <w:r w:rsidRPr="00386D67">
              <w:rPr>
                <w:rFonts w:asciiTheme="minorHAnsi" w:eastAsia="Times New Roman" w:hAnsiTheme="minorHAnsi" w:cs="Times New Roman"/>
                <w:b/>
                <w:bCs/>
                <w:lang w:eastAsia="sk-SK"/>
              </w:rPr>
              <w:t>Kód</w:t>
            </w:r>
          </w:p>
        </w:tc>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702A5A" w14:textId="77777777" w:rsidR="00386D67" w:rsidRPr="00386D67" w:rsidRDefault="00386D67" w:rsidP="00386D67">
            <w:pPr>
              <w:spacing w:after="0" w:line="240" w:lineRule="auto"/>
              <w:jc w:val="center"/>
              <w:rPr>
                <w:rFonts w:asciiTheme="minorHAnsi" w:eastAsia="Times New Roman" w:hAnsiTheme="minorHAnsi" w:cs="Times New Roman"/>
                <w:b/>
                <w:bCs/>
                <w:lang w:eastAsia="sk-SK"/>
              </w:rPr>
            </w:pPr>
            <w:r w:rsidRPr="00386D67">
              <w:rPr>
                <w:rFonts w:asciiTheme="minorHAnsi" w:eastAsia="Times New Roman" w:hAnsiTheme="minorHAnsi" w:cs="Times New Roman"/>
                <w:b/>
                <w:bCs/>
                <w:lang w:eastAsia="sk-SK"/>
              </w:rPr>
              <w:t>Názov ukazovateľa</w:t>
            </w:r>
          </w:p>
        </w:tc>
        <w:tc>
          <w:tcPr>
            <w:tcW w:w="55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157731" w14:textId="77777777" w:rsidR="00386D67" w:rsidRPr="00386D67" w:rsidRDefault="00386D67" w:rsidP="00386D67">
            <w:pPr>
              <w:spacing w:after="0" w:line="240" w:lineRule="auto"/>
              <w:jc w:val="center"/>
              <w:rPr>
                <w:rFonts w:asciiTheme="minorHAnsi" w:eastAsia="Times New Roman" w:hAnsiTheme="minorHAnsi" w:cs="Times New Roman"/>
                <w:b/>
                <w:bCs/>
                <w:lang w:eastAsia="sk-SK"/>
              </w:rPr>
            </w:pPr>
            <w:r w:rsidRPr="00386D67">
              <w:rPr>
                <w:rFonts w:asciiTheme="minorHAnsi" w:eastAsia="Times New Roman" w:hAnsiTheme="minorHAnsi" w:cs="Times New Roman"/>
                <w:b/>
                <w:bCs/>
                <w:lang w:eastAsia="sk-SK"/>
              </w:rPr>
              <w:t>Definícia/metóda výpočtu</w:t>
            </w:r>
          </w:p>
        </w:tc>
        <w:tc>
          <w:tcPr>
            <w:tcW w:w="21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8A6AFE" w14:textId="77777777" w:rsidR="00386D67" w:rsidRPr="00386D67" w:rsidRDefault="00386D67" w:rsidP="00386D67">
            <w:pPr>
              <w:spacing w:after="0" w:line="240" w:lineRule="auto"/>
              <w:jc w:val="center"/>
              <w:rPr>
                <w:rFonts w:asciiTheme="minorHAnsi" w:eastAsia="Times New Roman" w:hAnsiTheme="minorHAnsi" w:cs="Times New Roman"/>
                <w:b/>
                <w:bCs/>
                <w:lang w:eastAsia="sk-SK"/>
              </w:rPr>
            </w:pPr>
            <w:r w:rsidRPr="00386D67">
              <w:rPr>
                <w:rFonts w:asciiTheme="minorHAnsi" w:eastAsia="Times New Roman" w:hAnsiTheme="minorHAnsi" w:cs="Times New Roman"/>
                <w:b/>
                <w:bCs/>
                <w:lang w:eastAsia="sk-SK"/>
              </w:rPr>
              <w:t>Merná jednotka</w:t>
            </w:r>
          </w:p>
        </w:tc>
        <w:tc>
          <w:tcPr>
            <w:tcW w:w="1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376418" w14:textId="77777777" w:rsidR="00386D67" w:rsidRPr="00386D67" w:rsidRDefault="00386D67" w:rsidP="00386D67">
            <w:pPr>
              <w:spacing w:after="0" w:line="240" w:lineRule="auto"/>
              <w:jc w:val="center"/>
              <w:rPr>
                <w:rFonts w:asciiTheme="minorHAnsi" w:eastAsia="Times New Roman" w:hAnsiTheme="minorHAnsi" w:cs="Times New Roman"/>
                <w:b/>
                <w:bCs/>
                <w:lang w:eastAsia="sk-SK"/>
              </w:rPr>
            </w:pPr>
            <w:r w:rsidRPr="00386D67">
              <w:rPr>
                <w:rFonts w:asciiTheme="minorHAnsi" w:eastAsia="Times New Roman" w:hAnsiTheme="minorHAnsi" w:cs="Times New Roman"/>
                <w:b/>
                <w:bCs/>
                <w:lang w:eastAsia="sk-SK"/>
              </w:rPr>
              <w:t>Zdroj</w:t>
            </w:r>
          </w:p>
        </w:tc>
        <w:tc>
          <w:tcPr>
            <w:tcW w:w="12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07D40D" w14:textId="77777777" w:rsidR="00386D67" w:rsidRPr="00386D67" w:rsidRDefault="00386D67" w:rsidP="00386D67">
            <w:pPr>
              <w:spacing w:after="0" w:line="240" w:lineRule="auto"/>
              <w:jc w:val="center"/>
              <w:rPr>
                <w:rFonts w:asciiTheme="minorHAnsi" w:eastAsia="Times New Roman" w:hAnsiTheme="minorHAnsi" w:cs="Times New Roman"/>
                <w:b/>
                <w:bCs/>
                <w:lang w:eastAsia="sk-SK"/>
              </w:rPr>
            </w:pPr>
            <w:r w:rsidRPr="009E274E">
              <w:rPr>
                <w:rFonts w:asciiTheme="minorHAnsi" w:eastAsia="Times New Roman" w:hAnsiTheme="minorHAnsi" w:cs="Times New Roman"/>
                <w:b/>
                <w:bCs/>
                <w:lang w:eastAsia="sk-SK"/>
              </w:rPr>
              <w:t>Príznak Rizika</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5E966B" w14:textId="77777777" w:rsidR="00386D67" w:rsidRPr="00386D67" w:rsidRDefault="00386D67" w:rsidP="00386D67">
            <w:pPr>
              <w:spacing w:after="0" w:line="240" w:lineRule="auto"/>
              <w:jc w:val="center"/>
              <w:rPr>
                <w:rFonts w:asciiTheme="minorHAnsi" w:eastAsia="Times New Roman" w:hAnsiTheme="minorHAnsi" w:cs="Times New Roman"/>
                <w:b/>
                <w:bCs/>
                <w:lang w:eastAsia="sk-SK"/>
              </w:rPr>
            </w:pPr>
            <w:r w:rsidRPr="00386D67">
              <w:rPr>
                <w:rFonts w:asciiTheme="minorHAnsi" w:eastAsia="Times New Roman" w:hAnsiTheme="minorHAnsi" w:cs="Times New Roman"/>
                <w:b/>
                <w:bCs/>
                <w:lang w:eastAsia="sk-SK"/>
              </w:rPr>
              <w:t>Relevancia k HP</w:t>
            </w:r>
          </w:p>
        </w:tc>
      </w:tr>
      <w:tr w:rsidR="00274F66" w:rsidRPr="009E274E" w14:paraId="76F1A171" w14:textId="77777777" w:rsidTr="00274F66">
        <w:trPr>
          <w:trHeight w:val="1410"/>
        </w:trPr>
        <w:tc>
          <w:tcPr>
            <w:tcW w:w="721" w:type="dxa"/>
            <w:tcBorders>
              <w:top w:val="single" w:sz="4" w:space="0" w:color="auto"/>
              <w:left w:val="single" w:sz="4" w:space="0" w:color="auto"/>
              <w:bottom w:val="single" w:sz="4" w:space="0" w:color="auto"/>
              <w:right w:val="single" w:sz="4" w:space="0" w:color="auto"/>
            </w:tcBorders>
            <w:shd w:val="clear" w:color="auto" w:fill="auto"/>
          </w:tcPr>
          <w:p w14:paraId="053FB06C" w14:textId="009502CE" w:rsidR="00274F66" w:rsidRDefault="004A68F0">
            <w:pPr>
              <w:rPr>
                <w:sz w:val="18"/>
                <w:szCs w:val="18"/>
              </w:rPr>
            </w:pPr>
            <w:r w:rsidRPr="004A68F0">
              <w:rPr>
                <w:sz w:val="18"/>
                <w:szCs w:val="18"/>
              </w:rPr>
              <w:t>D0128</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75FD987" w14:textId="3C00A2AE" w:rsidR="00274F66" w:rsidRDefault="004A68F0">
            <w:pPr>
              <w:rPr>
                <w:sz w:val="18"/>
                <w:szCs w:val="18"/>
              </w:rPr>
            </w:pPr>
            <w:r w:rsidRPr="004A68F0">
              <w:rPr>
                <w:sz w:val="18"/>
                <w:szCs w:val="18"/>
              </w:rPr>
              <w:t>Počet nástrojov zabezpečujúcich prístupnosť pre osoby so zdravotným postihnutím</w:t>
            </w:r>
          </w:p>
        </w:tc>
        <w:tc>
          <w:tcPr>
            <w:tcW w:w="5501" w:type="dxa"/>
            <w:tcBorders>
              <w:top w:val="single" w:sz="4" w:space="0" w:color="auto"/>
              <w:left w:val="nil"/>
              <w:bottom w:val="single" w:sz="4" w:space="0" w:color="auto"/>
              <w:right w:val="single" w:sz="4" w:space="0" w:color="auto"/>
            </w:tcBorders>
            <w:shd w:val="clear" w:color="auto" w:fill="auto"/>
          </w:tcPr>
          <w:p w14:paraId="193DB3F5" w14:textId="77777777" w:rsidR="004A68F0" w:rsidRPr="004A68F0" w:rsidRDefault="004A68F0" w:rsidP="004A68F0">
            <w:pPr>
              <w:rPr>
                <w:color w:val="000000"/>
                <w:sz w:val="18"/>
                <w:szCs w:val="18"/>
              </w:rPr>
            </w:pPr>
            <w:r w:rsidRPr="004A68F0">
              <w:rPr>
                <w:color w:val="000000"/>
                <w:sz w:val="18"/>
                <w:szCs w:val="18"/>
              </w:rPr>
              <w:t>Údaj vyjadruje počet nástrojov zabezpečujúcich prístupnosť pre osoby so zdravotným postihnutím a zahŕňa opatrenia, služby alebo zariadenia zamerané na odstraňovanie prekážok a bariér brániacich v prístupnosti osobám so zdravotným postihnutím k výsledkom projektu. Môže ísť o zlepšenie prístupnosti k fyzickému prostrediu, k doprave (napr. nástupište, zdvíhacie plošiny, výťah, oznamovacie a navádzacie systémy a pod.), k informáciám a komunikácii vrátane informačných a komunikačných technológií a systémov, ako aj k ďalším prostriedkom a službám dostupným alebo poskytovaným verejnosti. Ide o prístupnosť najmä v zmysle vyhlášky Ministerstva životného prostredia SR č. 532/2002, ktorou sa ustanovujú podrobnosti o všeobecných technických požiadavkách na výstavbu a o všeobecných technických požiadavkách na stavby užívané osobami s obmedzenou schopnosťou pohybu a orientácie a výnos Ministerstva financií SR č. 55/2014 o štandardoch pre informačné systémy verejnej správy.</w:t>
            </w:r>
          </w:p>
          <w:p w14:paraId="3328F606" w14:textId="6F2D8CC0" w:rsidR="00274F66" w:rsidRDefault="004A68F0" w:rsidP="004A68F0">
            <w:pPr>
              <w:rPr>
                <w:color w:val="000000"/>
                <w:sz w:val="18"/>
                <w:szCs w:val="18"/>
              </w:rPr>
            </w:pPr>
            <w:r w:rsidRPr="004A68F0">
              <w:rPr>
                <w:color w:val="000000"/>
                <w:sz w:val="18"/>
                <w:szCs w:val="18"/>
              </w:rPr>
              <w:t xml:space="preserve">Osoby so zdravotným postihnutím sú osoby s dlhodobými telesnými, mentálnymi, intelektuálnymi alebo zmyslovými postihnutiami, ktoré v súčinnosti s rôznymi prekážkami môžu brániť ich plnému a účinnému zapojeniu do spoločnosti na rovnakom základe s ostatnými. Osoby so zdravotným postihnutím zahŕňajú všetky osoby so zdravotným </w:t>
            </w:r>
            <w:r w:rsidRPr="004A68F0">
              <w:rPr>
                <w:color w:val="000000"/>
                <w:sz w:val="18"/>
                <w:szCs w:val="18"/>
              </w:rPr>
              <w:lastRenderedPageBreak/>
              <w:t>postihnutím, najmä však osoby definované v zákone č. 447/2008 Z. z. o peňažných príspevkoch na kompenzáciu ťažkého zdravotného postihnutia (osoba s ťažkým zdravotným postihnutím) alebo v zákone č. 461/2003 Z. z. o sociálnom poistení (osoba, ktorá má zníženú mieru schopnosti vykonávať zárobkovú činnosť).</w:t>
            </w:r>
          </w:p>
        </w:tc>
        <w:tc>
          <w:tcPr>
            <w:tcW w:w="2103" w:type="dxa"/>
            <w:tcBorders>
              <w:top w:val="single" w:sz="4" w:space="0" w:color="auto"/>
              <w:left w:val="nil"/>
              <w:bottom w:val="single" w:sz="4" w:space="0" w:color="auto"/>
              <w:right w:val="single" w:sz="4" w:space="0" w:color="auto"/>
            </w:tcBorders>
            <w:shd w:val="clear" w:color="auto" w:fill="auto"/>
          </w:tcPr>
          <w:p w14:paraId="4572FFE6" w14:textId="6DE22559" w:rsidR="00274F66" w:rsidRDefault="004A68F0">
            <w:pPr>
              <w:rPr>
                <w:color w:val="000000"/>
                <w:sz w:val="18"/>
                <w:szCs w:val="18"/>
              </w:rPr>
            </w:pPr>
            <w:r>
              <w:rPr>
                <w:color w:val="000000"/>
                <w:sz w:val="18"/>
                <w:szCs w:val="18"/>
              </w:rPr>
              <w:lastRenderedPageBreak/>
              <w:t>počet</w:t>
            </w:r>
          </w:p>
        </w:tc>
        <w:tc>
          <w:tcPr>
            <w:tcW w:w="1420" w:type="dxa"/>
            <w:tcBorders>
              <w:top w:val="single" w:sz="4" w:space="0" w:color="auto"/>
              <w:left w:val="nil"/>
              <w:bottom w:val="single" w:sz="4" w:space="0" w:color="auto"/>
              <w:right w:val="single" w:sz="4" w:space="0" w:color="auto"/>
            </w:tcBorders>
            <w:shd w:val="clear" w:color="auto" w:fill="auto"/>
          </w:tcPr>
          <w:p w14:paraId="67CFEB7A" w14:textId="286488CC" w:rsidR="00274F66" w:rsidRDefault="000F3FB0">
            <w:pPr>
              <w:rPr>
                <w:color w:val="000000"/>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2E8987C1" w14:textId="77777777" w:rsidR="00274F66" w:rsidRDefault="00411445">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6D29C82F" w14:textId="5AB5D251" w:rsidR="00274F66" w:rsidRDefault="004A68F0">
            <w:pPr>
              <w:rPr>
                <w:sz w:val="18"/>
                <w:szCs w:val="18"/>
              </w:rPr>
            </w:pPr>
            <w:r w:rsidRPr="004A68F0">
              <w:rPr>
                <w:sz w:val="18"/>
                <w:szCs w:val="18"/>
              </w:rPr>
              <w:t>UR, RMŽaND</w:t>
            </w:r>
          </w:p>
        </w:tc>
      </w:tr>
      <w:tr w:rsidR="00274F66" w:rsidRPr="009E274E" w14:paraId="2958EF5E" w14:textId="77777777" w:rsidTr="00274F66">
        <w:trPr>
          <w:trHeight w:val="1410"/>
        </w:trPr>
        <w:tc>
          <w:tcPr>
            <w:tcW w:w="721" w:type="dxa"/>
            <w:tcBorders>
              <w:top w:val="nil"/>
              <w:left w:val="single" w:sz="4" w:space="0" w:color="auto"/>
              <w:bottom w:val="single" w:sz="4" w:space="0" w:color="auto"/>
              <w:right w:val="single" w:sz="4" w:space="0" w:color="auto"/>
            </w:tcBorders>
            <w:shd w:val="clear" w:color="auto" w:fill="auto"/>
          </w:tcPr>
          <w:p w14:paraId="2ECB5B52" w14:textId="2BE82542" w:rsidR="00274F66" w:rsidRDefault="004A68F0">
            <w:pPr>
              <w:rPr>
                <w:sz w:val="18"/>
                <w:szCs w:val="18"/>
              </w:rPr>
            </w:pPr>
            <w:r w:rsidRPr="004A68F0">
              <w:rPr>
                <w:sz w:val="18"/>
                <w:szCs w:val="18"/>
              </w:rPr>
              <w:t>D0249</w:t>
            </w:r>
          </w:p>
        </w:tc>
        <w:tc>
          <w:tcPr>
            <w:tcW w:w="1807" w:type="dxa"/>
            <w:tcBorders>
              <w:top w:val="nil"/>
              <w:left w:val="single" w:sz="4" w:space="0" w:color="auto"/>
              <w:bottom w:val="single" w:sz="4" w:space="0" w:color="auto"/>
              <w:right w:val="single" w:sz="4" w:space="0" w:color="auto"/>
            </w:tcBorders>
            <w:shd w:val="clear" w:color="auto" w:fill="auto"/>
          </w:tcPr>
          <w:p w14:paraId="4A7B2896" w14:textId="63C8A8C2" w:rsidR="00274F66" w:rsidRDefault="004A68F0">
            <w:pPr>
              <w:rPr>
                <w:sz w:val="18"/>
                <w:szCs w:val="18"/>
              </w:rPr>
            </w:pPr>
            <w:r w:rsidRPr="004A68F0">
              <w:rPr>
                <w:sz w:val="18"/>
                <w:szCs w:val="18"/>
              </w:rPr>
              <w:t>Počet pracovníkov, pracovníčok refundovaných z projektu mimo technickej pomoci OP/OP TP</w:t>
            </w:r>
          </w:p>
        </w:tc>
        <w:tc>
          <w:tcPr>
            <w:tcW w:w="5501" w:type="dxa"/>
            <w:tcBorders>
              <w:top w:val="nil"/>
              <w:left w:val="nil"/>
              <w:bottom w:val="single" w:sz="4" w:space="0" w:color="auto"/>
              <w:right w:val="single" w:sz="4" w:space="0" w:color="auto"/>
            </w:tcBorders>
            <w:shd w:val="clear" w:color="auto" w:fill="auto"/>
          </w:tcPr>
          <w:p w14:paraId="71D0ED7D" w14:textId="7DDF22F4" w:rsidR="00274F66" w:rsidRDefault="004A68F0" w:rsidP="00EB438B">
            <w:pPr>
              <w:rPr>
                <w:sz w:val="18"/>
                <w:szCs w:val="18"/>
              </w:rPr>
            </w:pPr>
            <w:r w:rsidRPr="004A68F0">
              <w:rPr>
                <w:sz w:val="18"/>
                <w:szCs w:val="18"/>
              </w:rPr>
              <w:t>Údaj vyjadruje priemerný ročný počet pracovníkov, pracovníčok, ktorých mzdy sú plne alebo čiastočne refundované v rámci daného projektu a prepočítaný na ekvivalent plného pracovného úväzku (FTE). Údaj zachytáva jednak osoby, ktoré sa podieľajú na riadení a implementácii projektu (napr. projektový manažér, projektová manažérka, účtovníčka, účtovník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w:t>
            </w:r>
          </w:p>
        </w:tc>
        <w:tc>
          <w:tcPr>
            <w:tcW w:w="2103" w:type="dxa"/>
            <w:tcBorders>
              <w:top w:val="nil"/>
              <w:left w:val="nil"/>
              <w:bottom w:val="single" w:sz="4" w:space="0" w:color="auto"/>
              <w:right w:val="single" w:sz="4" w:space="0" w:color="auto"/>
            </w:tcBorders>
            <w:shd w:val="clear" w:color="auto" w:fill="auto"/>
          </w:tcPr>
          <w:p w14:paraId="7733BCEF" w14:textId="2D425A35" w:rsidR="00274F66" w:rsidRDefault="004A68F0">
            <w:pPr>
              <w:rPr>
                <w:sz w:val="18"/>
                <w:szCs w:val="18"/>
              </w:rPr>
            </w:pPr>
            <w:r>
              <w:rPr>
                <w:sz w:val="18"/>
                <w:szCs w:val="18"/>
              </w:rPr>
              <w:t>FTE</w:t>
            </w:r>
          </w:p>
        </w:tc>
        <w:tc>
          <w:tcPr>
            <w:tcW w:w="1420" w:type="dxa"/>
            <w:tcBorders>
              <w:top w:val="nil"/>
              <w:left w:val="nil"/>
              <w:bottom w:val="single" w:sz="4" w:space="0" w:color="auto"/>
              <w:right w:val="single" w:sz="4" w:space="0" w:color="auto"/>
            </w:tcBorders>
            <w:shd w:val="clear" w:color="auto" w:fill="auto"/>
          </w:tcPr>
          <w:p w14:paraId="16E405A7" w14:textId="53582123" w:rsidR="00274F66" w:rsidRDefault="000F3FB0">
            <w:pPr>
              <w:rPr>
                <w:sz w:val="18"/>
                <w:szCs w:val="18"/>
              </w:rPr>
            </w:pPr>
            <w:r>
              <w:rPr>
                <w:sz w:val="18"/>
                <w:szCs w:val="18"/>
              </w:rPr>
              <w:t>N/A</w:t>
            </w:r>
          </w:p>
        </w:tc>
        <w:tc>
          <w:tcPr>
            <w:tcW w:w="1207" w:type="dxa"/>
            <w:tcBorders>
              <w:top w:val="nil"/>
              <w:left w:val="nil"/>
              <w:bottom w:val="single" w:sz="4" w:space="0" w:color="auto"/>
              <w:right w:val="single" w:sz="4" w:space="0" w:color="auto"/>
            </w:tcBorders>
            <w:shd w:val="clear" w:color="auto" w:fill="auto"/>
          </w:tcPr>
          <w:p w14:paraId="44B98FA4" w14:textId="77777777" w:rsidR="00274F66" w:rsidRDefault="00411445">
            <w:pPr>
              <w:rPr>
                <w:sz w:val="18"/>
                <w:szCs w:val="18"/>
              </w:rPr>
            </w:pPr>
            <w:r>
              <w:rPr>
                <w:sz w:val="18"/>
                <w:szCs w:val="18"/>
              </w:rPr>
              <w:t>N/A</w:t>
            </w:r>
          </w:p>
        </w:tc>
        <w:tc>
          <w:tcPr>
            <w:tcW w:w="1133" w:type="dxa"/>
            <w:tcBorders>
              <w:top w:val="nil"/>
              <w:left w:val="nil"/>
              <w:bottom w:val="single" w:sz="4" w:space="0" w:color="auto"/>
              <w:right w:val="single" w:sz="4" w:space="0" w:color="auto"/>
            </w:tcBorders>
            <w:shd w:val="clear" w:color="auto" w:fill="auto"/>
          </w:tcPr>
          <w:p w14:paraId="1DC8545B" w14:textId="3F1AF86D" w:rsidR="00274F66" w:rsidRDefault="004A68F0" w:rsidP="00274F66">
            <w:pPr>
              <w:rPr>
                <w:sz w:val="18"/>
                <w:szCs w:val="18"/>
              </w:rPr>
            </w:pPr>
            <w:r w:rsidRPr="004A68F0">
              <w:rPr>
                <w:sz w:val="18"/>
                <w:szCs w:val="18"/>
              </w:rPr>
              <w:t>RMŽaND</w:t>
            </w:r>
          </w:p>
        </w:tc>
      </w:tr>
      <w:tr w:rsidR="00274F66" w:rsidRPr="009E274E" w14:paraId="6CD25861" w14:textId="77777777" w:rsidTr="00274F66">
        <w:trPr>
          <w:trHeight w:val="560"/>
        </w:trPr>
        <w:tc>
          <w:tcPr>
            <w:tcW w:w="721" w:type="dxa"/>
            <w:tcBorders>
              <w:top w:val="single" w:sz="4" w:space="0" w:color="auto"/>
              <w:left w:val="single" w:sz="4" w:space="0" w:color="auto"/>
              <w:bottom w:val="single" w:sz="4" w:space="0" w:color="auto"/>
              <w:right w:val="single" w:sz="4" w:space="0" w:color="auto"/>
            </w:tcBorders>
            <w:shd w:val="clear" w:color="auto" w:fill="auto"/>
          </w:tcPr>
          <w:p w14:paraId="53E3A77D" w14:textId="0969AC12" w:rsidR="00274F66" w:rsidRDefault="004A68F0">
            <w:pPr>
              <w:rPr>
                <w:sz w:val="18"/>
                <w:szCs w:val="18"/>
              </w:rPr>
            </w:pPr>
            <w:r w:rsidRPr="004A68F0">
              <w:rPr>
                <w:sz w:val="18"/>
                <w:szCs w:val="18"/>
              </w:rPr>
              <w:t>D0250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F9D450B" w14:textId="2A42F9AA" w:rsidR="00274F66" w:rsidRDefault="004A68F0">
            <w:pPr>
              <w:rPr>
                <w:sz w:val="18"/>
                <w:szCs w:val="18"/>
              </w:rPr>
            </w:pPr>
            <w:r w:rsidRPr="004A68F0">
              <w:rPr>
                <w:sz w:val="18"/>
                <w:szCs w:val="18"/>
              </w:rPr>
              <w:t>Počet pracovníkov, pracovníčok so zdravotným postihnutím refundovaných z projektu mimo technickej pomoci OP/OP TP</w:t>
            </w:r>
          </w:p>
        </w:tc>
        <w:tc>
          <w:tcPr>
            <w:tcW w:w="5501" w:type="dxa"/>
            <w:tcBorders>
              <w:top w:val="single" w:sz="4" w:space="0" w:color="auto"/>
              <w:left w:val="nil"/>
              <w:bottom w:val="single" w:sz="4" w:space="0" w:color="auto"/>
              <w:right w:val="single" w:sz="4" w:space="0" w:color="auto"/>
            </w:tcBorders>
            <w:shd w:val="clear" w:color="auto" w:fill="auto"/>
          </w:tcPr>
          <w:p w14:paraId="2F6EA0A5" w14:textId="2CF41900" w:rsidR="00274F66" w:rsidRDefault="004A68F0" w:rsidP="00447E65">
            <w:pPr>
              <w:rPr>
                <w:sz w:val="18"/>
                <w:szCs w:val="18"/>
              </w:rPr>
            </w:pPr>
            <w:r w:rsidRPr="004A68F0">
              <w:rPr>
                <w:sz w:val="18"/>
                <w:szCs w:val="18"/>
              </w:rPr>
              <w:t xml:space="preserve">Údaj vyjadruje priemerný ročný počet pracovníkov, pracovníčok so zdravotným postihnutím, ktorých mzdy sú plne alebo čiastočne refundované v rámci daného projektu, prepočítaný na ekvivalent plného pracovného úväzku (FTE). Údaj zachytáva jednak osoby, ktoré sa podieľajú na riadení a implementácii projektu (napr. projektový manažér, manažérka účtovník, účtovníčka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w:t>
            </w:r>
            <w:r w:rsidRPr="004A68F0">
              <w:rPr>
                <w:sz w:val="18"/>
                <w:szCs w:val="18"/>
              </w:rPr>
              <w:lastRenderedPageBreak/>
              <w:t>školitelia, školiteľky), osoby v mimopracovnom pomere ani osoby vykonávajúce prácu na základe obchodno-právneho vzťahu (napr. konatelia, konateľky firiem, mandátne zmluvy a pod.).</w:t>
            </w:r>
            <w:r w:rsidR="00274F66">
              <w:rPr>
                <w:sz w:val="18"/>
                <w:szCs w:val="18"/>
              </w:rPr>
              <w:br/>
              <w:t>Osoba mladšia ako 25 rokov veku je osoba ktorá v deň vstupu do aktivity dosiahla vek maximálne 25 rokov mínus 1 deň (platí pre ESF/IZM); osoba, ktorá v deň začiatku realizácie aktivít projektu dosiahla vek maximálne 25 rokov mínus 1 deň (platí pre EFRR/KF)</w:t>
            </w:r>
          </w:p>
        </w:tc>
        <w:tc>
          <w:tcPr>
            <w:tcW w:w="2103" w:type="dxa"/>
            <w:tcBorders>
              <w:top w:val="single" w:sz="4" w:space="0" w:color="auto"/>
              <w:left w:val="nil"/>
              <w:bottom w:val="single" w:sz="4" w:space="0" w:color="auto"/>
              <w:right w:val="single" w:sz="4" w:space="0" w:color="auto"/>
            </w:tcBorders>
            <w:shd w:val="clear" w:color="auto" w:fill="auto"/>
          </w:tcPr>
          <w:p w14:paraId="4215B820" w14:textId="77777777" w:rsidR="00274F66" w:rsidRDefault="00274F66" w:rsidP="000E61D3">
            <w:pPr>
              <w:rPr>
                <w:sz w:val="18"/>
                <w:szCs w:val="18"/>
              </w:rPr>
            </w:pPr>
            <w:r>
              <w:rPr>
                <w:sz w:val="18"/>
                <w:szCs w:val="18"/>
              </w:rPr>
              <w:lastRenderedPageBreak/>
              <w:t xml:space="preserve">FTE </w:t>
            </w:r>
          </w:p>
        </w:tc>
        <w:tc>
          <w:tcPr>
            <w:tcW w:w="1420" w:type="dxa"/>
            <w:tcBorders>
              <w:top w:val="single" w:sz="4" w:space="0" w:color="auto"/>
              <w:left w:val="nil"/>
              <w:bottom w:val="single" w:sz="4" w:space="0" w:color="auto"/>
              <w:right w:val="single" w:sz="4" w:space="0" w:color="auto"/>
            </w:tcBorders>
            <w:shd w:val="clear" w:color="auto" w:fill="auto"/>
          </w:tcPr>
          <w:p w14:paraId="564589D3" w14:textId="429C9A2F" w:rsidR="00274F66" w:rsidRDefault="000F3FB0">
            <w:pPr>
              <w:rPr>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44C55A90" w14:textId="77777777" w:rsidR="00274F66" w:rsidRDefault="00411445">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62302A44" w14:textId="19595F6D" w:rsidR="00274F66" w:rsidRDefault="004A68F0">
            <w:pPr>
              <w:rPr>
                <w:sz w:val="18"/>
                <w:szCs w:val="18"/>
              </w:rPr>
            </w:pPr>
            <w:r w:rsidRPr="004A68F0">
              <w:rPr>
                <w:sz w:val="18"/>
                <w:szCs w:val="18"/>
              </w:rPr>
              <w:t>RMŽaND</w:t>
            </w:r>
          </w:p>
        </w:tc>
      </w:tr>
      <w:tr w:rsidR="00274F66" w:rsidRPr="009E274E" w14:paraId="56CCB2A3" w14:textId="77777777" w:rsidTr="004A68F0">
        <w:trPr>
          <w:trHeight w:val="1895"/>
        </w:trPr>
        <w:tc>
          <w:tcPr>
            <w:tcW w:w="721" w:type="dxa"/>
            <w:tcBorders>
              <w:top w:val="single" w:sz="4" w:space="0" w:color="auto"/>
              <w:left w:val="single" w:sz="4" w:space="0" w:color="auto"/>
              <w:bottom w:val="single" w:sz="4" w:space="0" w:color="auto"/>
              <w:right w:val="single" w:sz="4" w:space="0" w:color="auto"/>
            </w:tcBorders>
            <w:shd w:val="clear" w:color="auto" w:fill="auto"/>
          </w:tcPr>
          <w:p w14:paraId="5C956DBC" w14:textId="0717E919" w:rsidR="00274F66" w:rsidRDefault="004A68F0">
            <w:pPr>
              <w:rPr>
                <w:sz w:val="18"/>
                <w:szCs w:val="18"/>
              </w:rPr>
            </w:pPr>
            <w:r w:rsidRPr="004A68F0">
              <w:rPr>
                <w:sz w:val="18"/>
                <w:szCs w:val="18"/>
              </w:rPr>
              <w:t>D0251</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B9F9FBC" w14:textId="0966EC4E" w:rsidR="00274F66" w:rsidRDefault="004A68F0" w:rsidP="00C81921">
            <w:pPr>
              <w:rPr>
                <w:sz w:val="18"/>
                <w:szCs w:val="18"/>
              </w:rPr>
            </w:pPr>
            <w:r w:rsidRPr="004A68F0">
              <w:rPr>
                <w:sz w:val="18"/>
                <w:szCs w:val="18"/>
              </w:rPr>
              <w:t>Počet pracovníkov, pracovníčok mladších ako 25 rokov veku refundovaných z projektu mimo technickej pomoci OP/OP TP</w:t>
            </w:r>
          </w:p>
        </w:tc>
        <w:tc>
          <w:tcPr>
            <w:tcW w:w="5501" w:type="dxa"/>
            <w:tcBorders>
              <w:top w:val="single" w:sz="4" w:space="0" w:color="auto"/>
              <w:left w:val="nil"/>
              <w:bottom w:val="single" w:sz="4" w:space="0" w:color="auto"/>
              <w:right w:val="single" w:sz="4" w:space="0" w:color="auto"/>
            </w:tcBorders>
            <w:shd w:val="clear" w:color="auto" w:fill="auto"/>
          </w:tcPr>
          <w:p w14:paraId="73760D76" w14:textId="77777777" w:rsidR="004A68F0" w:rsidRPr="004A68F0" w:rsidRDefault="004A68F0" w:rsidP="004A68F0">
            <w:pPr>
              <w:rPr>
                <w:sz w:val="18"/>
                <w:szCs w:val="18"/>
              </w:rPr>
            </w:pPr>
            <w:r w:rsidRPr="004A68F0">
              <w:rPr>
                <w:sz w:val="18"/>
                <w:szCs w:val="18"/>
              </w:rPr>
              <w:t>Údaj vyjadruje priemerný ročný počet pracovníkov, pracovníčok mladších ako 25 rokov veku, ktorých mzdy sú plne alebo čiastočne refundované v rámci daného projektu a prepočítaný na ekvivalent plného pracovného úväzku (FTE). Údaj zachytáva jednak osoby, ktoré sa podieľajú na riadení a implementácii projektu (napr. projektový manažér, manažérka, účtovník, účtovníčka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w:t>
            </w:r>
          </w:p>
          <w:p w14:paraId="65BFD25A" w14:textId="12EF568B" w:rsidR="00274F66" w:rsidRDefault="004A68F0" w:rsidP="004A68F0">
            <w:pPr>
              <w:rPr>
                <w:sz w:val="18"/>
                <w:szCs w:val="18"/>
              </w:rPr>
            </w:pPr>
            <w:r w:rsidRPr="004A68F0">
              <w:rPr>
                <w:sz w:val="18"/>
                <w:szCs w:val="18"/>
              </w:rPr>
              <w:t>Osoba mladšia ako 25 rokov veku je osoba ktorá v deň vstupu do aktivity dosiahla vek maximálne 25 rokov mínus 1 deň (platí pre ESF/IZM); osoba, ktorá v deň začiatku realizácie aktivít projektu dosiahla vek maximálne 25 rokov mínus 1 deň (platí pre EFRR/KF)</w:t>
            </w:r>
          </w:p>
        </w:tc>
        <w:tc>
          <w:tcPr>
            <w:tcW w:w="2103" w:type="dxa"/>
            <w:tcBorders>
              <w:top w:val="single" w:sz="4" w:space="0" w:color="auto"/>
              <w:left w:val="nil"/>
              <w:bottom w:val="single" w:sz="4" w:space="0" w:color="auto"/>
              <w:right w:val="single" w:sz="4" w:space="0" w:color="auto"/>
            </w:tcBorders>
            <w:shd w:val="clear" w:color="auto" w:fill="auto"/>
          </w:tcPr>
          <w:p w14:paraId="0AF5A5A2" w14:textId="77777777" w:rsidR="00274F66" w:rsidRDefault="00274F66">
            <w:pPr>
              <w:rPr>
                <w:sz w:val="18"/>
                <w:szCs w:val="18"/>
              </w:rPr>
            </w:pPr>
            <w:r>
              <w:rPr>
                <w:sz w:val="18"/>
                <w:szCs w:val="18"/>
              </w:rPr>
              <w:t>FTE</w:t>
            </w:r>
          </w:p>
        </w:tc>
        <w:tc>
          <w:tcPr>
            <w:tcW w:w="1420" w:type="dxa"/>
            <w:tcBorders>
              <w:top w:val="single" w:sz="4" w:space="0" w:color="auto"/>
              <w:left w:val="nil"/>
              <w:bottom w:val="single" w:sz="4" w:space="0" w:color="auto"/>
              <w:right w:val="single" w:sz="4" w:space="0" w:color="auto"/>
            </w:tcBorders>
            <w:shd w:val="clear" w:color="auto" w:fill="auto"/>
          </w:tcPr>
          <w:p w14:paraId="0CDFF0A7" w14:textId="37E849A9" w:rsidR="00274F66" w:rsidRDefault="000F3FB0">
            <w:pPr>
              <w:rPr>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061FDE02" w14:textId="77777777" w:rsidR="00274F66" w:rsidRDefault="00411445">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0F94B411" w14:textId="647100BA" w:rsidR="00274F66" w:rsidRDefault="004A68F0">
            <w:pPr>
              <w:rPr>
                <w:sz w:val="18"/>
                <w:szCs w:val="18"/>
              </w:rPr>
            </w:pPr>
            <w:r w:rsidRPr="004A68F0">
              <w:rPr>
                <w:sz w:val="18"/>
                <w:szCs w:val="18"/>
              </w:rPr>
              <w:t>RMŽaND</w:t>
            </w:r>
          </w:p>
        </w:tc>
      </w:tr>
      <w:tr w:rsidR="00274F66" w:rsidRPr="009E274E" w14:paraId="3201F3CD" w14:textId="77777777" w:rsidTr="00274F66">
        <w:trPr>
          <w:trHeight w:val="701"/>
        </w:trPr>
        <w:tc>
          <w:tcPr>
            <w:tcW w:w="721" w:type="dxa"/>
            <w:tcBorders>
              <w:top w:val="single" w:sz="4" w:space="0" w:color="auto"/>
              <w:left w:val="single" w:sz="4" w:space="0" w:color="auto"/>
              <w:bottom w:val="single" w:sz="4" w:space="0" w:color="auto"/>
              <w:right w:val="single" w:sz="4" w:space="0" w:color="auto"/>
            </w:tcBorders>
            <w:shd w:val="clear" w:color="auto" w:fill="auto"/>
          </w:tcPr>
          <w:p w14:paraId="05EDF57A" w14:textId="14F97B65" w:rsidR="00274F66" w:rsidRDefault="004A68F0">
            <w:pPr>
              <w:rPr>
                <w:sz w:val="18"/>
                <w:szCs w:val="18"/>
              </w:rPr>
            </w:pPr>
            <w:r w:rsidRPr="004A68F0">
              <w:rPr>
                <w:sz w:val="18"/>
                <w:szCs w:val="18"/>
              </w:rPr>
              <w:t>D0256</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4EF1021" w14:textId="3DC017A7" w:rsidR="00274F66" w:rsidRDefault="004A68F0">
            <w:pPr>
              <w:rPr>
                <w:sz w:val="18"/>
                <w:szCs w:val="18"/>
              </w:rPr>
            </w:pPr>
            <w:r w:rsidRPr="004A68F0">
              <w:rPr>
                <w:sz w:val="18"/>
                <w:szCs w:val="18"/>
              </w:rPr>
              <w:t xml:space="preserve">Počet pracovníkov, pracovníčok starších ako 54 rokov veku refundovaných z </w:t>
            </w:r>
            <w:r w:rsidRPr="004A68F0">
              <w:rPr>
                <w:sz w:val="18"/>
                <w:szCs w:val="18"/>
              </w:rPr>
              <w:lastRenderedPageBreak/>
              <w:t>projektu mimo technickej pomoci OP/OP TP</w:t>
            </w:r>
          </w:p>
        </w:tc>
        <w:tc>
          <w:tcPr>
            <w:tcW w:w="5501" w:type="dxa"/>
            <w:tcBorders>
              <w:top w:val="single" w:sz="4" w:space="0" w:color="auto"/>
              <w:left w:val="nil"/>
              <w:bottom w:val="single" w:sz="4" w:space="0" w:color="auto"/>
              <w:right w:val="single" w:sz="4" w:space="0" w:color="auto"/>
            </w:tcBorders>
            <w:shd w:val="clear" w:color="auto" w:fill="auto"/>
          </w:tcPr>
          <w:p w14:paraId="6978098A" w14:textId="77777777" w:rsidR="004A68F0" w:rsidRPr="004A68F0" w:rsidRDefault="004A68F0" w:rsidP="004A68F0">
            <w:pPr>
              <w:rPr>
                <w:sz w:val="18"/>
                <w:szCs w:val="18"/>
              </w:rPr>
            </w:pPr>
            <w:r w:rsidRPr="004A68F0">
              <w:rPr>
                <w:sz w:val="18"/>
                <w:szCs w:val="18"/>
              </w:rPr>
              <w:lastRenderedPageBreak/>
              <w:t xml:space="preserve">Údaj vyjadruje priemerný ročný počet pracovníkov, pracovníčok starších ako 54 rokov veku, ktorých mzdy sú plne alebo čiastočne refundované v rámci daného projektu a prepočítaný na ekvivalent plného pracovného úväzku (FTE). Údaj zachytáva jednak osoby, ktoré sa podieľajú na riadení </w:t>
            </w:r>
            <w:r w:rsidRPr="004A68F0">
              <w:rPr>
                <w:sz w:val="18"/>
                <w:szCs w:val="18"/>
              </w:rPr>
              <w:lastRenderedPageBreak/>
              <w:t>a implementácii projektu (napr. projektový manažér, manažérka, účtovníčka, účtovník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w:t>
            </w:r>
          </w:p>
          <w:p w14:paraId="324A8E6B" w14:textId="3D12F3B6" w:rsidR="00274F66" w:rsidRDefault="004A68F0" w:rsidP="004A68F0">
            <w:pPr>
              <w:rPr>
                <w:sz w:val="18"/>
                <w:szCs w:val="18"/>
              </w:rPr>
            </w:pPr>
            <w:r w:rsidRPr="004A68F0">
              <w:rPr>
                <w:sz w:val="18"/>
                <w:szCs w:val="18"/>
              </w:rPr>
              <w:t>Osoba staršia ako 54 rokov veku je osoba, ktorá najneskôr v deň vstupu do aktivity dosiahla vek 54 rokov alebo vyšší (platí pre ESF/IZM); osoba, ktorá najneskôr v čase začiatku realizácie aktivít projektu dosiahla vek 54 rokov alebo vyšší (platí pre EFRR/KF).</w:t>
            </w:r>
          </w:p>
        </w:tc>
        <w:tc>
          <w:tcPr>
            <w:tcW w:w="2103" w:type="dxa"/>
            <w:tcBorders>
              <w:top w:val="single" w:sz="4" w:space="0" w:color="auto"/>
              <w:left w:val="nil"/>
              <w:bottom w:val="single" w:sz="4" w:space="0" w:color="auto"/>
              <w:right w:val="single" w:sz="4" w:space="0" w:color="auto"/>
            </w:tcBorders>
            <w:shd w:val="clear" w:color="auto" w:fill="auto"/>
          </w:tcPr>
          <w:p w14:paraId="71465CD6" w14:textId="77777777" w:rsidR="00274F66" w:rsidRDefault="00274F66">
            <w:pPr>
              <w:rPr>
                <w:sz w:val="18"/>
                <w:szCs w:val="18"/>
              </w:rPr>
            </w:pPr>
            <w:r>
              <w:rPr>
                <w:sz w:val="18"/>
                <w:szCs w:val="18"/>
              </w:rPr>
              <w:lastRenderedPageBreak/>
              <w:t>FTE</w:t>
            </w:r>
          </w:p>
        </w:tc>
        <w:tc>
          <w:tcPr>
            <w:tcW w:w="1420" w:type="dxa"/>
            <w:tcBorders>
              <w:top w:val="single" w:sz="4" w:space="0" w:color="auto"/>
              <w:left w:val="nil"/>
              <w:bottom w:val="single" w:sz="4" w:space="0" w:color="auto"/>
              <w:right w:val="single" w:sz="4" w:space="0" w:color="auto"/>
            </w:tcBorders>
            <w:shd w:val="clear" w:color="auto" w:fill="auto"/>
          </w:tcPr>
          <w:p w14:paraId="33645FE6" w14:textId="7C250242" w:rsidR="00274F66" w:rsidRDefault="000F3FB0">
            <w:pPr>
              <w:rPr>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2CBFD299" w14:textId="77777777" w:rsidR="00274F66" w:rsidRDefault="00411445">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55FEFB77" w14:textId="5249D273" w:rsidR="00274F66" w:rsidRDefault="004A68F0">
            <w:pPr>
              <w:rPr>
                <w:sz w:val="18"/>
                <w:szCs w:val="18"/>
              </w:rPr>
            </w:pPr>
            <w:r w:rsidRPr="004A68F0">
              <w:rPr>
                <w:sz w:val="18"/>
                <w:szCs w:val="18"/>
              </w:rPr>
              <w:t>RMŽaND</w:t>
            </w:r>
          </w:p>
        </w:tc>
      </w:tr>
      <w:tr w:rsidR="00274F66" w:rsidRPr="009E274E" w14:paraId="7D569DD9" w14:textId="77777777" w:rsidTr="00274F66">
        <w:trPr>
          <w:trHeight w:val="3765"/>
        </w:trPr>
        <w:tc>
          <w:tcPr>
            <w:tcW w:w="721" w:type="dxa"/>
            <w:tcBorders>
              <w:top w:val="nil"/>
              <w:left w:val="single" w:sz="4" w:space="0" w:color="auto"/>
              <w:bottom w:val="single" w:sz="4" w:space="0" w:color="auto"/>
              <w:right w:val="single" w:sz="4" w:space="0" w:color="auto"/>
            </w:tcBorders>
            <w:shd w:val="clear" w:color="auto" w:fill="auto"/>
          </w:tcPr>
          <w:p w14:paraId="0FF2C4B6" w14:textId="6398C6C0" w:rsidR="00274F66" w:rsidRDefault="004A68F0">
            <w:pPr>
              <w:rPr>
                <w:sz w:val="18"/>
                <w:szCs w:val="18"/>
              </w:rPr>
            </w:pPr>
            <w:r w:rsidRPr="004A68F0">
              <w:rPr>
                <w:sz w:val="18"/>
                <w:szCs w:val="18"/>
              </w:rPr>
              <w:t>D0257</w:t>
            </w:r>
          </w:p>
        </w:tc>
        <w:tc>
          <w:tcPr>
            <w:tcW w:w="1807" w:type="dxa"/>
            <w:tcBorders>
              <w:top w:val="nil"/>
              <w:left w:val="single" w:sz="4" w:space="0" w:color="auto"/>
              <w:bottom w:val="single" w:sz="4" w:space="0" w:color="auto"/>
              <w:right w:val="single" w:sz="4" w:space="0" w:color="auto"/>
            </w:tcBorders>
            <w:shd w:val="clear" w:color="auto" w:fill="auto"/>
          </w:tcPr>
          <w:p w14:paraId="6F71274C" w14:textId="50FCDA80" w:rsidR="00274F66" w:rsidRDefault="004A68F0">
            <w:pPr>
              <w:rPr>
                <w:sz w:val="18"/>
                <w:szCs w:val="18"/>
              </w:rPr>
            </w:pPr>
            <w:r w:rsidRPr="004A68F0">
              <w:rPr>
                <w:sz w:val="18"/>
                <w:szCs w:val="18"/>
              </w:rPr>
              <w:t>Počet pracovníkov, pracovníčok patriacich k etnickej, národnostnej, rasovej menšine refundovaných z projektu mimo technickej pomoci OP/OP TP</w:t>
            </w:r>
          </w:p>
        </w:tc>
        <w:tc>
          <w:tcPr>
            <w:tcW w:w="5501" w:type="dxa"/>
            <w:tcBorders>
              <w:top w:val="nil"/>
              <w:left w:val="nil"/>
              <w:bottom w:val="single" w:sz="4" w:space="0" w:color="auto"/>
              <w:right w:val="single" w:sz="4" w:space="0" w:color="auto"/>
            </w:tcBorders>
            <w:shd w:val="clear" w:color="auto" w:fill="auto"/>
          </w:tcPr>
          <w:p w14:paraId="00741202" w14:textId="77777777" w:rsidR="004A68F0" w:rsidRPr="004A68F0" w:rsidRDefault="004A68F0" w:rsidP="004A68F0">
            <w:pPr>
              <w:rPr>
                <w:sz w:val="18"/>
                <w:szCs w:val="18"/>
              </w:rPr>
            </w:pPr>
            <w:r w:rsidRPr="004A68F0">
              <w:rPr>
                <w:sz w:val="18"/>
                <w:szCs w:val="18"/>
              </w:rPr>
              <w:t>Údaj vyjadruje priemerný ročný počet pracovníkov, pracovníčok,  ktorí sa hlásia k etnickej, národnostnej, rasovej menšine, ktorých mzdy sú plne, alebo čiastočne refundované v rámci daného projektu a prepočítaný na ekvivalent plného pracovného úväzku (FTE). Údaj zachytáva jednak osoby, ktoré sa podieľajú na riadení a implementácii projektu (napr. projektový manažér, manažérka, účtovník, účtovníčka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w:t>
            </w:r>
          </w:p>
          <w:p w14:paraId="62FD7CC1" w14:textId="7FE3761E" w:rsidR="00274F66" w:rsidRDefault="004A68F0" w:rsidP="004A68F0">
            <w:pPr>
              <w:rPr>
                <w:sz w:val="18"/>
                <w:szCs w:val="18"/>
              </w:rPr>
            </w:pPr>
            <w:r w:rsidRPr="004A68F0">
              <w:rPr>
                <w:sz w:val="18"/>
                <w:szCs w:val="18"/>
              </w:rPr>
              <w:lastRenderedPageBreak/>
              <w:t>Príslušnosť k etnickej, národnostnej alebo rasovej menšine osoba preukazuje prostredníctvom formálne zaznamenanej sebadeklarácie.</w:t>
            </w:r>
          </w:p>
        </w:tc>
        <w:tc>
          <w:tcPr>
            <w:tcW w:w="2103" w:type="dxa"/>
            <w:tcBorders>
              <w:top w:val="nil"/>
              <w:left w:val="nil"/>
              <w:bottom w:val="single" w:sz="4" w:space="0" w:color="auto"/>
              <w:right w:val="single" w:sz="4" w:space="0" w:color="auto"/>
            </w:tcBorders>
            <w:shd w:val="clear" w:color="auto" w:fill="auto"/>
          </w:tcPr>
          <w:p w14:paraId="31A7D28E" w14:textId="77777777" w:rsidR="00274F66" w:rsidRDefault="00274F66">
            <w:pPr>
              <w:rPr>
                <w:sz w:val="18"/>
                <w:szCs w:val="18"/>
              </w:rPr>
            </w:pPr>
            <w:r>
              <w:rPr>
                <w:sz w:val="18"/>
                <w:szCs w:val="18"/>
              </w:rPr>
              <w:lastRenderedPageBreak/>
              <w:t>FTE</w:t>
            </w:r>
          </w:p>
        </w:tc>
        <w:tc>
          <w:tcPr>
            <w:tcW w:w="1420" w:type="dxa"/>
            <w:tcBorders>
              <w:top w:val="nil"/>
              <w:left w:val="nil"/>
              <w:bottom w:val="single" w:sz="4" w:space="0" w:color="auto"/>
              <w:right w:val="single" w:sz="4" w:space="0" w:color="auto"/>
            </w:tcBorders>
            <w:shd w:val="clear" w:color="auto" w:fill="auto"/>
          </w:tcPr>
          <w:p w14:paraId="0E454E48" w14:textId="23744910" w:rsidR="00274F66" w:rsidRDefault="000F3FB0">
            <w:pPr>
              <w:rPr>
                <w:sz w:val="18"/>
                <w:szCs w:val="18"/>
              </w:rPr>
            </w:pPr>
            <w:r>
              <w:rPr>
                <w:sz w:val="18"/>
                <w:szCs w:val="18"/>
              </w:rPr>
              <w:t>N/A</w:t>
            </w:r>
          </w:p>
        </w:tc>
        <w:tc>
          <w:tcPr>
            <w:tcW w:w="1207" w:type="dxa"/>
            <w:tcBorders>
              <w:top w:val="nil"/>
              <w:left w:val="nil"/>
              <w:bottom w:val="single" w:sz="4" w:space="0" w:color="auto"/>
              <w:right w:val="single" w:sz="4" w:space="0" w:color="auto"/>
            </w:tcBorders>
            <w:shd w:val="clear" w:color="auto" w:fill="auto"/>
          </w:tcPr>
          <w:p w14:paraId="13D8D895" w14:textId="77777777" w:rsidR="00274F66" w:rsidRDefault="00411445">
            <w:pPr>
              <w:rPr>
                <w:sz w:val="18"/>
                <w:szCs w:val="18"/>
              </w:rPr>
            </w:pPr>
            <w:r>
              <w:rPr>
                <w:sz w:val="18"/>
                <w:szCs w:val="18"/>
              </w:rPr>
              <w:t>N/A</w:t>
            </w:r>
          </w:p>
        </w:tc>
        <w:tc>
          <w:tcPr>
            <w:tcW w:w="1133" w:type="dxa"/>
            <w:tcBorders>
              <w:top w:val="nil"/>
              <w:left w:val="nil"/>
              <w:bottom w:val="single" w:sz="4" w:space="0" w:color="auto"/>
              <w:right w:val="single" w:sz="4" w:space="0" w:color="auto"/>
            </w:tcBorders>
            <w:shd w:val="clear" w:color="auto" w:fill="auto"/>
          </w:tcPr>
          <w:p w14:paraId="00F976FE" w14:textId="351C0E7D" w:rsidR="00274F66" w:rsidRDefault="004A68F0">
            <w:pPr>
              <w:rPr>
                <w:sz w:val="18"/>
                <w:szCs w:val="18"/>
              </w:rPr>
            </w:pPr>
            <w:r w:rsidRPr="004A68F0">
              <w:rPr>
                <w:sz w:val="18"/>
                <w:szCs w:val="18"/>
              </w:rPr>
              <w:t>RMŽaND</w:t>
            </w:r>
          </w:p>
        </w:tc>
      </w:tr>
      <w:tr w:rsidR="00274F66" w:rsidRPr="009E274E" w14:paraId="35C3AB62" w14:textId="77777777" w:rsidTr="00274F66">
        <w:trPr>
          <w:trHeight w:val="701"/>
        </w:trPr>
        <w:tc>
          <w:tcPr>
            <w:tcW w:w="721" w:type="dxa"/>
            <w:tcBorders>
              <w:top w:val="single" w:sz="4" w:space="0" w:color="auto"/>
              <w:left w:val="single" w:sz="4" w:space="0" w:color="auto"/>
              <w:bottom w:val="single" w:sz="4" w:space="0" w:color="auto"/>
              <w:right w:val="single" w:sz="4" w:space="0" w:color="auto"/>
            </w:tcBorders>
            <w:shd w:val="clear" w:color="auto" w:fill="auto"/>
          </w:tcPr>
          <w:p w14:paraId="7EF29B25" w14:textId="3C2D4B6C" w:rsidR="00274F66" w:rsidRDefault="004A68F0">
            <w:pPr>
              <w:rPr>
                <w:sz w:val="18"/>
                <w:szCs w:val="18"/>
              </w:rPr>
            </w:pPr>
            <w:r w:rsidRPr="004A68F0">
              <w:rPr>
                <w:sz w:val="18"/>
                <w:szCs w:val="18"/>
              </w:rPr>
              <w:t>D0258</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C36D5D9" w14:textId="6EDF001A" w:rsidR="00274F66" w:rsidRDefault="004A68F0" w:rsidP="00274F66">
            <w:pPr>
              <w:rPr>
                <w:sz w:val="18"/>
                <w:szCs w:val="18"/>
              </w:rPr>
            </w:pPr>
            <w:r w:rsidRPr="004A68F0">
              <w:rPr>
                <w:sz w:val="18"/>
                <w:szCs w:val="18"/>
              </w:rPr>
              <w:t>Počet pracovníkov, pracovníčok, ktorí boli pred zapojením osobami dlhodobo nezamestnanými, refundovaných z projektu mimo technickej pomoci OP/OP TP</w:t>
            </w:r>
          </w:p>
        </w:tc>
        <w:tc>
          <w:tcPr>
            <w:tcW w:w="5501" w:type="dxa"/>
            <w:tcBorders>
              <w:top w:val="single" w:sz="4" w:space="0" w:color="auto"/>
              <w:left w:val="nil"/>
              <w:bottom w:val="single" w:sz="4" w:space="0" w:color="auto"/>
              <w:right w:val="single" w:sz="4" w:space="0" w:color="auto"/>
            </w:tcBorders>
            <w:shd w:val="clear" w:color="auto" w:fill="auto"/>
          </w:tcPr>
          <w:p w14:paraId="33C73B31" w14:textId="77777777" w:rsidR="004A68F0" w:rsidRPr="004A68F0" w:rsidRDefault="004A68F0" w:rsidP="004A68F0">
            <w:pPr>
              <w:rPr>
                <w:sz w:val="18"/>
                <w:szCs w:val="18"/>
              </w:rPr>
            </w:pPr>
            <w:r w:rsidRPr="004A68F0">
              <w:rPr>
                <w:sz w:val="18"/>
                <w:szCs w:val="18"/>
              </w:rPr>
              <w:t>Údaj vyjadruje priemerný ročný počet pracovníkov, pracovníčok, ktorí boli pred zapojením osobami dlhodobo nezamestnanými, ktorých mzdy sú plne alebo čiastočne refundované v rámci daného projektu a prepočítaný na ekvivalent plného pracovného úväzku (FTE). Údaj zachytáva jednak osoby, ktoré sa podieľajú na riadení a implementácii projektu (napr. projektový manažér, manažérka, účtovníčka, účtovník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w:t>
            </w:r>
          </w:p>
          <w:p w14:paraId="1EB6C5F8" w14:textId="7D369A44" w:rsidR="00274F66" w:rsidRDefault="004A68F0" w:rsidP="004A68F0">
            <w:pPr>
              <w:rPr>
                <w:sz w:val="18"/>
                <w:szCs w:val="18"/>
              </w:rPr>
            </w:pPr>
            <w:r w:rsidRPr="004A68F0">
              <w:rPr>
                <w:sz w:val="18"/>
                <w:szCs w:val="18"/>
              </w:rPr>
              <w:t xml:space="preserve">Dlhodobo nezamestnaná osoba je osoba vedená v evidencii uchádzačov </w:t>
            </w:r>
            <w:r w:rsidRPr="004A68F0">
              <w:rPr>
                <w:sz w:val="18"/>
                <w:szCs w:val="18"/>
              </w:rPr>
              <w:lastRenderedPageBreak/>
              <w:t>o zamestnanie najmenej 12 po sebe nasledujúcich mesiacov; v prípade osoby mladšej ako 25 rokov najmenej 6 po sebe nasledujúcich mesiacov (platí pre ESF/IZM); osoba vedená v evidencii uchádzačov o zamestnanie najmenej 12 po sebe nasledujúcich mesiacov (platí pre EFRR/KF). Dlhodobá nezamestnanosť sa preukazuje dokladom z úradu práce, sociálnych vecí a rodiny.</w:t>
            </w:r>
          </w:p>
        </w:tc>
        <w:tc>
          <w:tcPr>
            <w:tcW w:w="2103" w:type="dxa"/>
            <w:tcBorders>
              <w:top w:val="single" w:sz="4" w:space="0" w:color="auto"/>
              <w:left w:val="nil"/>
              <w:bottom w:val="single" w:sz="4" w:space="0" w:color="auto"/>
              <w:right w:val="single" w:sz="4" w:space="0" w:color="auto"/>
            </w:tcBorders>
            <w:shd w:val="clear" w:color="auto" w:fill="auto"/>
          </w:tcPr>
          <w:p w14:paraId="64D5704A" w14:textId="77777777" w:rsidR="00274F66" w:rsidRDefault="00274F66">
            <w:pPr>
              <w:rPr>
                <w:sz w:val="18"/>
                <w:szCs w:val="18"/>
              </w:rPr>
            </w:pPr>
            <w:r>
              <w:rPr>
                <w:sz w:val="18"/>
                <w:szCs w:val="18"/>
              </w:rPr>
              <w:lastRenderedPageBreak/>
              <w:t>FTE</w:t>
            </w:r>
          </w:p>
        </w:tc>
        <w:tc>
          <w:tcPr>
            <w:tcW w:w="1420" w:type="dxa"/>
            <w:tcBorders>
              <w:top w:val="single" w:sz="4" w:space="0" w:color="auto"/>
              <w:left w:val="nil"/>
              <w:bottom w:val="single" w:sz="4" w:space="0" w:color="auto"/>
              <w:right w:val="single" w:sz="4" w:space="0" w:color="auto"/>
            </w:tcBorders>
            <w:shd w:val="clear" w:color="auto" w:fill="auto"/>
          </w:tcPr>
          <w:p w14:paraId="6B41C5BC" w14:textId="54CFAACE" w:rsidR="00274F66" w:rsidRDefault="000F3FB0">
            <w:pPr>
              <w:rPr>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554BAAFE" w14:textId="77777777" w:rsidR="00274F66" w:rsidRDefault="00411445">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52EBA91D" w14:textId="7D057638" w:rsidR="00274F66" w:rsidRDefault="004A68F0">
            <w:pPr>
              <w:rPr>
                <w:sz w:val="18"/>
                <w:szCs w:val="18"/>
              </w:rPr>
            </w:pPr>
            <w:r w:rsidRPr="004A68F0">
              <w:rPr>
                <w:sz w:val="18"/>
                <w:szCs w:val="18"/>
              </w:rPr>
              <w:t>RMŽaND</w:t>
            </w:r>
          </w:p>
        </w:tc>
      </w:tr>
      <w:tr w:rsidR="00274F66" w:rsidRPr="009E274E" w14:paraId="6F09A3D1" w14:textId="77777777" w:rsidTr="00274F66">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auto"/>
          </w:tcPr>
          <w:p w14:paraId="2E928D05" w14:textId="55EE581D" w:rsidR="00274F66" w:rsidRDefault="004A68F0">
            <w:pPr>
              <w:rPr>
                <w:sz w:val="18"/>
                <w:szCs w:val="18"/>
              </w:rPr>
            </w:pPr>
            <w:r w:rsidRPr="004A68F0">
              <w:rPr>
                <w:sz w:val="18"/>
                <w:szCs w:val="18"/>
              </w:rPr>
              <w:t>D0259</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738B80E" w14:textId="617CEF1B" w:rsidR="00274F66" w:rsidRDefault="004A68F0">
            <w:pPr>
              <w:rPr>
                <w:sz w:val="18"/>
                <w:szCs w:val="18"/>
              </w:rPr>
            </w:pPr>
            <w:r w:rsidRPr="004A68F0">
              <w:rPr>
                <w:sz w:val="18"/>
                <w:szCs w:val="18"/>
              </w:rPr>
              <w:t>Počet pracovníkov, pracovníčok – príslušníkov, príslušníčok tretích krajín, refundovaných z projektu mimo technickej pomoci OP/OP TP</w:t>
            </w:r>
          </w:p>
        </w:tc>
        <w:tc>
          <w:tcPr>
            <w:tcW w:w="5501" w:type="dxa"/>
            <w:tcBorders>
              <w:top w:val="single" w:sz="4" w:space="0" w:color="auto"/>
              <w:left w:val="nil"/>
              <w:bottom w:val="single" w:sz="4" w:space="0" w:color="auto"/>
              <w:right w:val="single" w:sz="4" w:space="0" w:color="auto"/>
            </w:tcBorders>
            <w:shd w:val="clear" w:color="auto" w:fill="auto"/>
          </w:tcPr>
          <w:p w14:paraId="3069E4AE" w14:textId="77777777" w:rsidR="004A68F0" w:rsidRPr="004A68F0" w:rsidRDefault="004A68F0" w:rsidP="004A68F0">
            <w:pPr>
              <w:rPr>
                <w:sz w:val="18"/>
                <w:szCs w:val="18"/>
              </w:rPr>
            </w:pPr>
            <w:r w:rsidRPr="004A68F0">
              <w:rPr>
                <w:sz w:val="18"/>
                <w:szCs w:val="18"/>
              </w:rPr>
              <w:t xml:space="preserve">Údaj vyjadruje priemerný ročný počet pracovníkov, pracovníčok – príslušníkov, príslušníčok tretích krajín, ktorých mzdy sú plne, alebo čiastočne refundované v rámci daného projektu a prepočítaný na ekvivalent plného pracovného úväzku (FTE). Údaj zachytáva jednak osoby, ktoré sa podieľajú na riadení a implementácii projektu (napr. projektový manažér, manažérka, účtovníčka, účtovník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 </w:t>
            </w:r>
          </w:p>
          <w:p w14:paraId="65F9D69D" w14:textId="6976B12A" w:rsidR="00274F66" w:rsidRDefault="004A68F0" w:rsidP="004A68F0">
            <w:pPr>
              <w:rPr>
                <w:sz w:val="18"/>
                <w:szCs w:val="18"/>
              </w:rPr>
            </w:pPr>
            <w:r w:rsidRPr="004A68F0">
              <w:rPr>
                <w:sz w:val="18"/>
                <w:szCs w:val="18"/>
              </w:rPr>
              <w:t>Príslušník, príslušníčka tretej krajiny je každá osoba, ktorá nie je štátnym občanom Slovenskej republiky alebo Švajčiarskej konfederácie, alebo ktoréhokoľvek iného členského štátu Európskej únie, alebo štátu, ktorý nie je zmluvnou stranou Dohody o Európskom hospodárskom priestore alebo je osobou bez štátnej príslušnosti.</w:t>
            </w:r>
          </w:p>
        </w:tc>
        <w:tc>
          <w:tcPr>
            <w:tcW w:w="2103" w:type="dxa"/>
            <w:tcBorders>
              <w:top w:val="single" w:sz="4" w:space="0" w:color="auto"/>
              <w:left w:val="nil"/>
              <w:bottom w:val="single" w:sz="4" w:space="0" w:color="auto"/>
              <w:right w:val="single" w:sz="4" w:space="0" w:color="auto"/>
            </w:tcBorders>
            <w:shd w:val="clear" w:color="auto" w:fill="auto"/>
          </w:tcPr>
          <w:p w14:paraId="3CAB2398" w14:textId="64E1CB15" w:rsidR="00274F66" w:rsidRDefault="004A68F0">
            <w:pPr>
              <w:rPr>
                <w:sz w:val="18"/>
                <w:szCs w:val="18"/>
              </w:rPr>
            </w:pPr>
            <w:r w:rsidRPr="004A68F0">
              <w:rPr>
                <w:color w:val="000000"/>
                <w:sz w:val="18"/>
                <w:szCs w:val="18"/>
              </w:rPr>
              <w:t>FTE</w:t>
            </w:r>
          </w:p>
        </w:tc>
        <w:tc>
          <w:tcPr>
            <w:tcW w:w="1420" w:type="dxa"/>
            <w:tcBorders>
              <w:top w:val="single" w:sz="4" w:space="0" w:color="auto"/>
              <w:left w:val="nil"/>
              <w:bottom w:val="single" w:sz="4" w:space="0" w:color="auto"/>
              <w:right w:val="single" w:sz="4" w:space="0" w:color="auto"/>
            </w:tcBorders>
            <w:shd w:val="clear" w:color="auto" w:fill="auto"/>
          </w:tcPr>
          <w:p w14:paraId="0C8160E7" w14:textId="342C38ED" w:rsidR="00274F66" w:rsidRDefault="000F3FB0">
            <w:pPr>
              <w:rPr>
                <w:color w:val="000000"/>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5A6F39DC" w14:textId="77777777" w:rsidR="00274F66" w:rsidRDefault="00411445">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780B92BF" w14:textId="56F66B55" w:rsidR="00274F66" w:rsidRDefault="004A68F0" w:rsidP="00274F66">
            <w:pPr>
              <w:rPr>
                <w:sz w:val="18"/>
                <w:szCs w:val="18"/>
              </w:rPr>
            </w:pPr>
            <w:r w:rsidRPr="004A68F0">
              <w:rPr>
                <w:sz w:val="18"/>
                <w:szCs w:val="18"/>
              </w:rPr>
              <w:t>RMŽaND</w:t>
            </w:r>
          </w:p>
        </w:tc>
      </w:tr>
      <w:tr w:rsidR="00274F66" w:rsidRPr="009E274E" w14:paraId="73397EB1" w14:textId="77777777" w:rsidTr="00274F66">
        <w:trPr>
          <w:trHeight w:val="276"/>
        </w:trPr>
        <w:tc>
          <w:tcPr>
            <w:tcW w:w="721" w:type="dxa"/>
            <w:tcBorders>
              <w:top w:val="single" w:sz="4" w:space="0" w:color="auto"/>
              <w:left w:val="single" w:sz="4" w:space="0" w:color="auto"/>
              <w:bottom w:val="single" w:sz="4" w:space="0" w:color="auto"/>
              <w:right w:val="single" w:sz="4" w:space="0" w:color="auto"/>
            </w:tcBorders>
            <w:shd w:val="clear" w:color="auto" w:fill="auto"/>
          </w:tcPr>
          <w:p w14:paraId="5FDE81A2" w14:textId="17229D18" w:rsidR="00274F66" w:rsidRDefault="00086489">
            <w:pPr>
              <w:rPr>
                <w:sz w:val="18"/>
                <w:szCs w:val="18"/>
              </w:rPr>
            </w:pPr>
            <w:r w:rsidRPr="00086489">
              <w:rPr>
                <w:sz w:val="18"/>
                <w:szCs w:val="18"/>
              </w:rPr>
              <w:t>D0260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62015AA" w14:textId="4EAD6E5F" w:rsidR="00274F66" w:rsidRDefault="00086489">
            <w:pPr>
              <w:rPr>
                <w:sz w:val="18"/>
                <w:szCs w:val="18"/>
              </w:rPr>
            </w:pPr>
            <w:r w:rsidRPr="00086489">
              <w:rPr>
                <w:sz w:val="18"/>
                <w:szCs w:val="18"/>
              </w:rPr>
              <w:t xml:space="preserve">Miera zabezpečenia bezbariérového prístupu osôb so </w:t>
            </w:r>
            <w:r w:rsidRPr="00086489">
              <w:rPr>
                <w:sz w:val="18"/>
                <w:szCs w:val="18"/>
              </w:rPr>
              <w:lastRenderedPageBreak/>
              <w:t>zdravotným postihnutím k výsledkom projektu</w:t>
            </w:r>
          </w:p>
        </w:tc>
        <w:tc>
          <w:tcPr>
            <w:tcW w:w="5501" w:type="dxa"/>
            <w:tcBorders>
              <w:top w:val="single" w:sz="4" w:space="0" w:color="auto"/>
              <w:left w:val="nil"/>
              <w:bottom w:val="single" w:sz="4" w:space="0" w:color="auto"/>
              <w:right w:val="single" w:sz="4" w:space="0" w:color="auto"/>
            </w:tcBorders>
            <w:shd w:val="clear" w:color="auto" w:fill="auto"/>
          </w:tcPr>
          <w:p w14:paraId="28BB1326" w14:textId="77777777" w:rsidR="00086489" w:rsidRPr="00086489" w:rsidRDefault="00086489" w:rsidP="00086489">
            <w:pPr>
              <w:rPr>
                <w:sz w:val="18"/>
                <w:szCs w:val="18"/>
              </w:rPr>
            </w:pPr>
            <w:r w:rsidRPr="00086489">
              <w:rPr>
                <w:sz w:val="18"/>
                <w:szCs w:val="18"/>
              </w:rPr>
              <w:lastRenderedPageBreak/>
              <w:t xml:space="preserve">Údaj vyjadruje mieru prístupnosti fyzického prostredia pre osoby so zdravotným postihnutím s najväčšou možnou nezávislosťou primeranými a účinnými opatreniami (napr. formou stavebných úprav, umiestnením </w:t>
            </w:r>
            <w:r w:rsidRPr="00086489">
              <w:rPr>
                <w:sz w:val="18"/>
                <w:szCs w:val="18"/>
              </w:rPr>
              <w:lastRenderedPageBreak/>
              <w:t>asistenčného zariadenia, pomôcky alebo podpornej technológie, príp. inými riešeniami umožňujúcimi prístup osobám so zdravotným postihnutím). Uvedené opatrenia sa vzťahujú na fyzické prostredie dostupné verejnosti. Výslednou hodnotou musí byť na základe legislatívy Slovenskej republiky a požiadaviek EÚ 100 %, teda zabezpečenie bezbariérovosti v plnej miere. Metóda výpočtu: Hodnota údaju sa stanovuje ako podiel počtu odstránených bariér k počtu prekážok brániacim prístupu osôb so zdravotným postihnutím k výsledkom projektu, ktoré existovali v rámci predmetnej stavby v deň začatia realizácie projektu, násobený číslom 100.</w:t>
            </w:r>
          </w:p>
          <w:p w14:paraId="47EC1797" w14:textId="2BDA52CD" w:rsidR="00274F66" w:rsidRDefault="00086489" w:rsidP="00086489">
            <w:pPr>
              <w:rPr>
                <w:sz w:val="18"/>
                <w:szCs w:val="18"/>
              </w:rPr>
            </w:pPr>
            <w:r w:rsidRPr="00086489">
              <w:rPr>
                <w:sz w:val="18"/>
                <w:szCs w:val="18"/>
              </w:rPr>
              <w:t>Prekážkou brániacou prístupu osôb so zdravotným postihnutím k výsledkom projektu je každé stavebnotechnické adispozično-prevádzkové riešenie, ktoré nespĺňa technické požiadavky podľa prílohy „Všeobecné technické požiadavky zabezpečujúce užívanie na stavby užívané osobami s obmedzenou schopnosťou pohybu a orientácie“ k vyhláške Ministerstva životného prostredia SR č. 532/2002 Z. z., ktorou sa ustanovujú podrobnosti o všeobecných technických požiadavkách na výstavbu ao všeobecných technických požiadavkách na stavby užívané osobami s obmedzenou schopnosťou pohybu a orientácie. Existujúce bariéry identifikuje odborník (architekt) v projektovej dokumentácii podľa parametrov, ktoré sú špecifikované najmä vo vyhláške Ministerstva životného prostredia SR č. 532/2002 Z. z., ktorou sa ustanovujú podrobnosti o všeobecných technických požiadavkách na výstavbu a o všeobecných technických požiadavkách na stavby užívané osobami s obmedzenou schopnosťou pohybu a orientácie. V projektovej dokumentácii na rekonštrukciu sa uvádzajú všetky úpravy, ktoré sa v objekte vykonávajú, vrátane odstránenia prekážok.</w:t>
            </w:r>
          </w:p>
        </w:tc>
        <w:tc>
          <w:tcPr>
            <w:tcW w:w="2103" w:type="dxa"/>
            <w:tcBorders>
              <w:top w:val="single" w:sz="4" w:space="0" w:color="auto"/>
              <w:left w:val="nil"/>
              <w:bottom w:val="single" w:sz="4" w:space="0" w:color="auto"/>
              <w:right w:val="single" w:sz="4" w:space="0" w:color="auto"/>
            </w:tcBorders>
            <w:shd w:val="clear" w:color="auto" w:fill="auto"/>
          </w:tcPr>
          <w:p w14:paraId="4751C702" w14:textId="3A3195E5" w:rsidR="00274F66" w:rsidRDefault="00086489">
            <w:pPr>
              <w:rPr>
                <w:sz w:val="18"/>
                <w:szCs w:val="18"/>
              </w:rPr>
            </w:pPr>
            <w:r>
              <w:rPr>
                <w:color w:val="000000"/>
                <w:sz w:val="18"/>
                <w:szCs w:val="18"/>
              </w:rPr>
              <w:lastRenderedPageBreak/>
              <w:t>%</w:t>
            </w:r>
          </w:p>
        </w:tc>
        <w:tc>
          <w:tcPr>
            <w:tcW w:w="1420" w:type="dxa"/>
            <w:tcBorders>
              <w:top w:val="single" w:sz="4" w:space="0" w:color="auto"/>
              <w:left w:val="nil"/>
              <w:bottom w:val="single" w:sz="4" w:space="0" w:color="auto"/>
              <w:right w:val="single" w:sz="4" w:space="0" w:color="auto"/>
            </w:tcBorders>
            <w:shd w:val="clear" w:color="auto" w:fill="auto"/>
          </w:tcPr>
          <w:p w14:paraId="274C78B0" w14:textId="0D756BCD" w:rsidR="00274F66" w:rsidRDefault="000F3FB0">
            <w:pPr>
              <w:rPr>
                <w:color w:val="000000"/>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3BBEAD10" w14:textId="77777777" w:rsidR="00274F66" w:rsidRDefault="00411445">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1D021056" w14:textId="4D1658A4" w:rsidR="00274F66" w:rsidRDefault="004A68F0">
            <w:pPr>
              <w:rPr>
                <w:sz w:val="18"/>
                <w:szCs w:val="18"/>
              </w:rPr>
            </w:pPr>
            <w:r w:rsidRPr="004A68F0">
              <w:rPr>
                <w:sz w:val="18"/>
                <w:szCs w:val="18"/>
              </w:rPr>
              <w:t>RMŽaND</w:t>
            </w:r>
          </w:p>
        </w:tc>
      </w:tr>
      <w:tr w:rsidR="00274F66" w:rsidRPr="009E274E" w14:paraId="0476A0BE" w14:textId="77777777" w:rsidTr="00274F66">
        <w:trPr>
          <w:trHeight w:val="418"/>
        </w:trPr>
        <w:tc>
          <w:tcPr>
            <w:tcW w:w="721" w:type="dxa"/>
            <w:tcBorders>
              <w:top w:val="single" w:sz="4" w:space="0" w:color="auto"/>
              <w:left w:val="single" w:sz="4" w:space="0" w:color="auto"/>
              <w:bottom w:val="single" w:sz="4" w:space="0" w:color="auto"/>
              <w:right w:val="single" w:sz="4" w:space="0" w:color="auto"/>
            </w:tcBorders>
            <w:shd w:val="clear" w:color="auto" w:fill="auto"/>
          </w:tcPr>
          <w:p w14:paraId="7FBE4921" w14:textId="279448CB" w:rsidR="00274F66" w:rsidRDefault="00086489">
            <w:pPr>
              <w:rPr>
                <w:sz w:val="18"/>
                <w:szCs w:val="18"/>
              </w:rPr>
            </w:pPr>
            <w:r w:rsidRPr="00086489">
              <w:rPr>
                <w:sz w:val="18"/>
                <w:szCs w:val="18"/>
              </w:rPr>
              <w:t>D0261</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2086881" w14:textId="69D9FFB4" w:rsidR="00274F66" w:rsidRDefault="00086489">
            <w:pPr>
              <w:rPr>
                <w:sz w:val="18"/>
                <w:szCs w:val="18"/>
              </w:rPr>
            </w:pPr>
            <w:r w:rsidRPr="00086489">
              <w:rPr>
                <w:sz w:val="18"/>
                <w:szCs w:val="18"/>
              </w:rPr>
              <w:t xml:space="preserve">Mzda mužov refundovaná z </w:t>
            </w:r>
            <w:r w:rsidRPr="00086489">
              <w:rPr>
                <w:sz w:val="18"/>
                <w:szCs w:val="18"/>
              </w:rPr>
              <w:lastRenderedPageBreak/>
              <w:t>projektu (priemer)</w:t>
            </w:r>
          </w:p>
        </w:tc>
        <w:tc>
          <w:tcPr>
            <w:tcW w:w="5501" w:type="dxa"/>
            <w:tcBorders>
              <w:top w:val="single" w:sz="4" w:space="0" w:color="auto"/>
              <w:left w:val="nil"/>
              <w:bottom w:val="single" w:sz="4" w:space="0" w:color="auto"/>
              <w:right w:val="single" w:sz="4" w:space="0" w:color="auto"/>
            </w:tcBorders>
            <w:shd w:val="clear" w:color="auto" w:fill="auto"/>
          </w:tcPr>
          <w:p w14:paraId="791C8362" w14:textId="77777777" w:rsidR="00086489" w:rsidRPr="00086489" w:rsidRDefault="00086489" w:rsidP="00086489">
            <w:pPr>
              <w:rPr>
                <w:sz w:val="18"/>
                <w:szCs w:val="18"/>
              </w:rPr>
            </w:pPr>
            <w:r w:rsidRPr="00086489">
              <w:rPr>
                <w:sz w:val="18"/>
                <w:szCs w:val="18"/>
              </w:rPr>
              <w:lastRenderedPageBreak/>
              <w:t xml:space="preserve">Údaj vyjadruje priemernú hrubú mesačnú mzdu mužov refundovanú z projektu. Do údaju sa nezahŕňa mzda osôb, s ktorými bola uzavretá niektorá z dohôd o prácach vykonávanej mimo pracovného pomer, mzda </w:t>
            </w:r>
            <w:r w:rsidRPr="00086489">
              <w:rPr>
                <w:sz w:val="18"/>
                <w:szCs w:val="18"/>
              </w:rPr>
              <w:lastRenderedPageBreak/>
              <w:t>učňov a študentov na prevádzkovej praxi, príjem súkromných podnikateľov (resp. ich spoločníkov), ktorí nemajú uzavretú pracovnú zmluvu v danej organizácii.</w:t>
            </w:r>
          </w:p>
          <w:p w14:paraId="579DFDE5" w14:textId="55E94B73" w:rsidR="00274F66" w:rsidRDefault="00086489" w:rsidP="00086489">
            <w:pPr>
              <w:rPr>
                <w:sz w:val="18"/>
                <w:szCs w:val="18"/>
              </w:rPr>
            </w:pPr>
            <w:r w:rsidRPr="00086489">
              <w:rPr>
                <w:sz w:val="18"/>
                <w:szCs w:val="18"/>
              </w:rPr>
              <w:t>Metóda výpočtu na úrovni projektu: Podiel súčtu priemerných mesačných hrubých miezd za všetkých pracovníkov (priemerná mesačná hrubá mzda pracovníka sa vypočíta ako aritmetický priemer mesačných hrubých miezd za odpracované/refundované obdobie), ktorým mzda bola refundovaná počas projektu (čitateľ) a súčtu daných pracovníkov, prepočítaných na FTE (menovateľ).</w:t>
            </w:r>
          </w:p>
        </w:tc>
        <w:tc>
          <w:tcPr>
            <w:tcW w:w="2103" w:type="dxa"/>
            <w:tcBorders>
              <w:top w:val="single" w:sz="4" w:space="0" w:color="auto"/>
              <w:left w:val="nil"/>
              <w:bottom w:val="single" w:sz="4" w:space="0" w:color="auto"/>
              <w:right w:val="single" w:sz="4" w:space="0" w:color="auto"/>
            </w:tcBorders>
            <w:shd w:val="clear" w:color="auto" w:fill="auto"/>
          </w:tcPr>
          <w:p w14:paraId="63221CA5" w14:textId="77777777" w:rsidR="00274F66" w:rsidRDefault="00274F66">
            <w:pPr>
              <w:rPr>
                <w:sz w:val="18"/>
                <w:szCs w:val="18"/>
              </w:rPr>
            </w:pPr>
            <w:r>
              <w:rPr>
                <w:color w:val="000000"/>
                <w:sz w:val="18"/>
                <w:szCs w:val="18"/>
              </w:rPr>
              <w:lastRenderedPageBreak/>
              <w:t>Eur</w:t>
            </w:r>
          </w:p>
        </w:tc>
        <w:tc>
          <w:tcPr>
            <w:tcW w:w="1420" w:type="dxa"/>
            <w:tcBorders>
              <w:top w:val="single" w:sz="4" w:space="0" w:color="auto"/>
              <w:left w:val="nil"/>
              <w:bottom w:val="single" w:sz="4" w:space="0" w:color="auto"/>
              <w:right w:val="single" w:sz="4" w:space="0" w:color="auto"/>
            </w:tcBorders>
            <w:shd w:val="clear" w:color="auto" w:fill="auto"/>
          </w:tcPr>
          <w:p w14:paraId="2EB1D9B5" w14:textId="057B9640" w:rsidR="00274F66" w:rsidRDefault="000F3FB0">
            <w:pPr>
              <w:rPr>
                <w:color w:val="000000"/>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77F9C094" w14:textId="77777777" w:rsidR="00274F66" w:rsidRDefault="00411445">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435DE713" w14:textId="31BFFE8E" w:rsidR="00274F66" w:rsidRDefault="004A68F0">
            <w:pPr>
              <w:rPr>
                <w:sz w:val="18"/>
                <w:szCs w:val="18"/>
              </w:rPr>
            </w:pPr>
            <w:r w:rsidRPr="004A68F0">
              <w:rPr>
                <w:sz w:val="18"/>
                <w:szCs w:val="18"/>
              </w:rPr>
              <w:t>RMŽaND</w:t>
            </w:r>
          </w:p>
        </w:tc>
      </w:tr>
      <w:tr w:rsidR="00274F66" w:rsidRPr="009E274E" w14:paraId="55DB049C" w14:textId="77777777" w:rsidTr="00086489">
        <w:trPr>
          <w:trHeight w:val="1607"/>
        </w:trPr>
        <w:tc>
          <w:tcPr>
            <w:tcW w:w="721" w:type="dxa"/>
            <w:tcBorders>
              <w:top w:val="single" w:sz="4" w:space="0" w:color="auto"/>
              <w:left w:val="single" w:sz="4" w:space="0" w:color="auto"/>
              <w:bottom w:val="single" w:sz="4" w:space="0" w:color="auto"/>
              <w:right w:val="single" w:sz="4" w:space="0" w:color="auto"/>
            </w:tcBorders>
            <w:shd w:val="clear" w:color="auto" w:fill="auto"/>
          </w:tcPr>
          <w:p w14:paraId="56014E85" w14:textId="4E4477F5" w:rsidR="00274F66" w:rsidRDefault="00086489">
            <w:pPr>
              <w:rPr>
                <w:sz w:val="18"/>
                <w:szCs w:val="18"/>
              </w:rPr>
            </w:pPr>
            <w:r w:rsidRPr="00086489">
              <w:rPr>
                <w:sz w:val="18"/>
                <w:szCs w:val="18"/>
              </w:rPr>
              <w:t>D0262</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B2E38AF" w14:textId="72C0B9A3" w:rsidR="00274F66" w:rsidRDefault="00086489" w:rsidP="00274F66">
            <w:pPr>
              <w:rPr>
                <w:sz w:val="18"/>
                <w:szCs w:val="18"/>
              </w:rPr>
            </w:pPr>
            <w:r w:rsidRPr="00086489">
              <w:rPr>
                <w:sz w:val="18"/>
                <w:szCs w:val="18"/>
              </w:rPr>
              <w:t>Mzda mužov refundovaná z projektu (medián)</w:t>
            </w:r>
          </w:p>
        </w:tc>
        <w:tc>
          <w:tcPr>
            <w:tcW w:w="5501" w:type="dxa"/>
            <w:tcBorders>
              <w:top w:val="single" w:sz="4" w:space="0" w:color="auto"/>
              <w:left w:val="nil"/>
              <w:bottom w:val="single" w:sz="4" w:space="0" w:color="auto"/>
              <w:right w:val="single" w:sz="4" w:space="0" w:color="auto"/>
            </w:tcBorders>
            <w:shd w:val="clear" w:color="auto" w:fill="auto"/>
          </w:tcPr>
          <w:p w14:paraId="0741486D" w14:textId="7C9FD299" w:rsidR="00274F66" w:rsidRDefault="00086489" w:rsidP="00086183">
            <w:pPr>
              <w:rPr>
                <w:sz w:val="18"/>
                <w:szCs w:val="18"/>
              </w:rPr>
            </w:pPr>
            <w:r w:rsidRPr="00086489">
              <w:rPr>
                <w:sz w:val="18"/>
                <w:szCs w:val="18"/>
              </w:rPr>
              <w:t>Údaj vyjadruje medián (strednú hodnotu) priemerných mesačných miezd mužov, refundovanú z projektu. Do údaju sa nezahŕňa mzda osôb, s ktorými bola uzavretá niektorá z dohôd o prácach vykonávanej mimo pracovného pomeru, mzda učňov a študentov na prevádzkovej praxi, príjem súkromných podnikateľov (resp. ich spoločníkov), ktorí nemajú uzavretú pracovnú zmluvu v danej organizácii.</w:t>
            </w:r>
          </w:p>
        </w:tc>
        <w:tc>
          <w:tcPr>
            <w:tcW w:w="2103" w:type="dxa"/>
            <w:tcBorders>
              <w:top w:val="single" w:sz="4" w:space="0" w:color="auto"/>
              <w:left w:val="nil"/>
              <w:bottom w:val="single" w:sz="4" w:space="0" w:color="auto"/>
              <w:right w:val="single" w:sz="4" w:space="0" w:color="auto"/>
            </w:tcBorders>
            <w:shd w:val="clear" w:color="auto" w:fill="auto"/>
          </w:tcPr>
          <w:p w14:paraId="6E842F93" w14:textId="77777777" w:rsidR="00274F66" w:rsidRDefault="00274F66">
            <w:pPr>
              <w:rPr>
                <w:sz w:val="18"/>
                <w:szCs w:val="18"/>
              </w:rPr>
            </w:pPr>
            <w:r>
              <w:rPr>
                <w:color w:val="000000"/>
                <w:sz w:val="18"/>
                <w:szCs w:val="18"/>
              </w:rPr>
              <w:t>Eur</w:t>
            </w:r>
          </w:p>
        </w:tc>
        <w:tc>
          <w:tcPr>
            <w:tcW w:w="1420" w:type="dxa"/>
            <w:tcBorders>
              <w:top w:val="single" w:sz="4" w:space="0" w:color="auto"/>
              <w:left w:val="nil"/>
              <w:bottom w:val="single" w:sz="4" w:space="0" w:color="auto"/>
              <w:right w:val="single" w:sz="4" w:space="0" w:color="auto"/>
            </w:tcBorders>
            <w:shd w:val="clear" w:color="auto" w:fill="auto"/>
          </w:tcPr>
          <w:p w14:paraId="6021FA29" w14:textId="37159878" w:rsidR="00274F66" w:rsidRDefault="000F3FB0">
            <w:pPr>
              <w:rPr>
                <w:color w:val="000000"/>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1286D622" w14:textId="77777777" w:rsidR="00274F66" w:rsidRDefault="00411445" w:rsidP="00274F66">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59D184A8" w14:textId="566BA0C1" w:rsidR="00274F66" w:rsidRDefault="004A68F0">
            <w:pPr>
              <w:rPr>
                <w:sz w:val="18"/>
                <w:szCs w:val="18"/>
              </w:rPr>
            </w:pPr>
            <w:r w:rsidRPr="004A68F0">
              <w:rPr>
                <w:sz w:val="18"/>
                <w:szCs w:val="18"/>
              </w:rPr>
              <w:t>RMŽaND</w:t>
            </w:r>
          </w:p>
        </w:tc>
      </w:tr>
      <w:tr w:rsidR="00274F66" w:rsidRPr="009E274E" w14:paraId="58B06354" w14:textId="77777777" w:rsidTr="00086489">
        <w:trPr>
          <w:trHeight w:val="418"/>
        </w:trPr>
        <w:tc>
          <w:tcPr>
            <w:tcW w:w="721" w:type="dxa"/>
            <w:tcBorders>
              <w:top w:val="nil"/>
              <w:left w:val="single" w:sz="4" w:space="0" w:color="auto"/>
              <w:bottom w:val="single" w:sz="4" w:space="0" w:color="auto"/>
              <w:right w:val="single" w:sz="4" w:space="0" w:color="auto"/>
            </w:tcBorders>
            <w:shd w:val="clear" w:color="auto" w:fill="auto"/>
          </w:tcPr>
          <w:p w14:paraId="4E4CBDDF" w14:textId="251935D2" w:rsidR="00274F66" w:rsidRDefault="00086489">
            <w:pPr>
              <w:rPr>
                <w:sz w:val="18"/>
                <w:szCs w:val="18"/>
              </w:rPr>
            </w:pPr>
            <w:r w:rsidRPr="00086489">
              <w:rPr>
                <w:sz w:val="18"/>
                <w:szCs w:val="18"/>
              </w:rPr>
              <w:t>D0263</w:t>
            </w:r>
          </w:p>
        </w:tc>
        <w:tc>
          <w:tcPr>
            <w:tcW w:w="1807" w:type="dxa"/>
            <w:tcBorders>
              <w:top w:val="nil"/>
              <w:left w:val="single" w:sz="4" w:space="0" w:color="auto"/>
              <w:bottom w:val="single" w:sz="4" w:space="0" w:color="auto"/>
              <w:right w:val="single" w:sz="4" w:space="0" w:color="auto"/>
            </w:tcBorders>
            <w:shd w:val="clear" w:color="auto" w:fill="auto"/>
          </w:tcPr>
          <w:p w14:paraId="711CEEBF" w14:textId="5A22E595" w:rsidR="00274F66" w:rsidRDefault="00086489">
            <w:pPr>
              <w:rPr>
                <w:sz w:val="18"/>
                <w:szCs w:val="18"/>
              </w:rPr>
            </w:pPr>
            <w:r w:rsidRPr="00086489">
              <w:rPr>
                <w:sz w:val="18"/>
                <w:szCs w:val="18"/>
              </w:rPr>
              <w:t>Mzda žien refundovaná z projektu (priemer)</w:t>
            </w:r>
          </w:p>
        </w:tc>
        <w:tc>
          <w:tcPr>
            <w:tcW w:w="5501" w:type="dxa"/>
            <w:tcBorders>
              <w:top w:val="nil"/>
              <w:left w:val="nil"/>
              <w:bottom w:val="single" w:sz="4" w:space="0" w:color="auto"/>
              <w:right w:val="single" w:sz="4" w:space="0" w:color="auto"/>
            </w:tcBorders>
            <w:shd w:val="clear" w:color="auto" w:fill="auto"/>
          </w:tcPr>
          <w:p w14:paraId="45E48D2D" w14:textId="77777777" w:rsidR="00086489" w:rsidRPr="00086489" w:rsidRDefault="00086489" w:rsidP="00086489">
            <w:pPr>
              <w:rPr>
                <w:sz w:val="18"/>
                <w:szCs w:val="18"/>
              </w:rPr>
            </w:pPr>
            <w:r w:rsidRPr="00086489">
              <w:rPr>
                <w:sz w:val="18"/>
                <w:szCs w:val="18"/>
              </w:rPr>
              <w:t>Údaj vyjadruje priemernú hrubú mesačnú mzdu žien refundovanú z projektu. Do údaju sa nezahŕňa mzda osôb, s ktorými bola uzavretá niektorá z dohôd o prácach vykonávanej mimo pracovného pomer, mzda učníc a študentiek na prevádzkovej praxi, príjem súkromných podnikateliek (resp. ich spoločníkov, spoločníčok), ktoré nemajú uzavretú pracovnú zmluvu v danej organizácii.</w:t>
            </w:r>
          </w:p>
          <w:p w14:paraId="7E001450" w14:textId="6C08BE9A" w:rsidR="00274F66" w:rsidRDefault="00086489" w:rsidP="00086489">
            <w:pPr>
              <w:rPr>
                <w:sz w:val="18"/>
                <w:szCs w:val="18"/>
              </w:rPr>
            </w:pPr>
            <w:r w:rsidRPr="00086489">
              <w:rPr>
                <w:sz w:val="18"/>
                <w:szCs w:val="18"/>
              </w:rPr>
              <w:t>Metóda výpočtu na úrovni projektu: Podiel súčtu priemerných mesačných hrubých miezd za všetky pracovníčky (priemerná mesačná hrubá mzda pracovníčky sa vypočíta ako aritmetický priemer mesačných hrubých miezd za odpracované/refundované obdobie), ktorým mzda bola refundovaná počas projektu (čitateľ) a súčtu daných pracovníčok, prepočítaných na FTE (menovateľ).</w:t>
            </w:r>
          </w:p>
        </w:tc>
        <w:tc>
          <w:tcPr>
            <w:tcW w:w="2103" w:type="dxa"/>
            <w:tcBorders>
              <w:top w:val="nil"/>
              <w:left w:val="nil"/>
              <w:bottom w:val="single" w:sz="4" w:space="0" w:color="auto"/>
              <w:right w:val="single" w:sz="4" w:space="0" w:color="auto"/>
            </w:tcBorders>
            <w:shd w:val="clear" w:color="auto" w:fill="auto"/>
          </w:tcPr>
          <w:p w14:paraId="641835E0" w14:textId="59CAA6AD" w:rsidR="00274F66" w:rsidRDefault="00086489">
            <w:pPr>
              <w:rPr>
                <w:sz w:val="18"/>
                <w:szCs w:val="18"/>
              </w:rPr>
            </w:pPr>
            <w:r>
              <w:rPr>
                <w:color w:val="000000"/>
                <w:sz w:val="18"/>
                <w:szCs w:val="18"/>
              </w:rPr>
              <w:t>Eur</w:t>
            </w:r>
          </w:p>
        </w:tc>
        <w:tc>
          <w:tcPr>
            <w:tcW w:w="1420" w:type="dxa"/>
            <w:tcBorders>
              <w:top w:val="nil"/>
              <w:left w:val="nil"/>
              <w:bottom w:val="single" w:sz="4" w:space="0" w:color="auto"/>
              <w:right w:val="single" w:sz="4" w:space="0" w:color="auto"/>
            </w:tcBorders>
            <w:shd w:val="clear" w:color="auto" w:fill="auto"/>
          </w:tcPr>
          <w:p w14:paraId="0FD7B31C" w14:textId="1E555874" w:rsidR="00274F66" w:rsidRDefault="000F3FB0">
            <w:pPr>
              <w:rPr>
                <w:color w:val="000000"/>
                <w:sz w:val="18"/>
                <w:szCs w:val="18"/>
              </w:rPr>
            </w:pPr>
            <w:r>
              <w:rPr>
                <w:sz w:val="18"/>
                <w:szCs w:val="18"/>
              </w:rPr>
              <w:t>N/A</w:t>
            </w:r>
          </w:p>
        </w:tc>
        <w:tc>
          <w:tcPr>
            <w:tcW w:w="1207" w:type="dxa"/>
            <w:tcBorders>
              <w:top w:val="nil"/>
              <w:left w:val="nil"/>
              <w:bottom w:val="single" w:sz="4" w:space="0" w:color="auto"/>
              <w:right w:val="single" w:sz="4" w:space="0" w:color="auto"/>
            </w:tcBorders>
            <w:shd w:val="clear" w:color="auto" w:fill="auto"/>
          </w:tcPr>
          <w:p w14:paraId="60FEFFC1" w14:textId="77777777" w:rsidR="00274F66" w:rsidRDefault="00411445">
            <w:pPr>
              <w:rPr>
                <w:sz w:val="18"/>
                <w:szCs w:val="18"/>
              </w:rPr>
            </w:pPr>
            <w:r>
              <w:rPr>
                <w:sz w:val="18"/>
                <w:szCs w:val="18"/>
              </w:rPr>
              <w:t>N/A</w:t>
            </w:r>
          </w:p>
        </w:tc>
        <w:tc>
          <w:tcPr>
            <w:tcW w:w="1133" w:type="dxa"/>
            <w:tcBorders>
              <w:top w:val="nil"/>
              <w:left w:val="nil"/>
              <w:bottom w:val="single" w:sz="4" w:space="0" w:color="auto"/>
              <w:right w:val="single" w:sz="4" w:space="0" w:color="auto"/>
            </w:tcBorders>
            <w:shd w:val="clear" w:color="auto" w:fill="auto"/>
          </w:tcPr>
          <w:p w14:paraId="31A66D00" w14:textId="147C4FA1" w:rsidR="00274F66" w:rsidRDefault="00086489">
            <w:pPr>
              <w:rPr>
                <w:sz w:val="18"/>
                <w:szCs w:val="18"/>
              </w:rPr>
            </w:pPr>
            <w:r w:rsidRPr="004A68F0">
              <w:rPr>
                <w:sz w:val="18"/>
                <w:szCs w:val="18"/>
              </w:rPr>
              <w:t>RMŽaND</w:t>
            </w:r>
          </w:p>
        </w:tc>
      </w:tr>
      <w:tr w:rsidR="00274F66" w:rsidRPr="009E274E" w14:paraId="4EB82BF9" w14:textId="77777777" w:rsidTr="00086489">
        <w:trPr>
          <w:trHeight w:val="1672"/>
        </w:trPr>
        <w:tc>
          <w:tcPr>
            <w:tcW w:w="721" w:type="dxa"/>
            <w:tcBorders>
              <w:top w:val="single" w:sz="4" w:space="0" w:color="auto"/>
              <w:left w:val="single" w:sz="4" w:space="0" w:color="auto"/>
              <w:bottom w:val="single" w:sz="4" w:space="0" w:color="auto"/>
              <w:right w:val="single" w:sz="4" w:space="0" w:color="auto"/>
            </w:tcBorders>
            <w:shd w:val="clear" w:color="auto" w:fill="auto"/>
          </w:tcPr>
          <w:p w14:paraId="01DF6E8D" w14:textId="1967B59F" w:rsidR="00274F66" w:rsidRDefault="00086489">
            <w:pPr>
              <w:rPr>
                <w:sz w:val="18"/>
                <w:szCs w:val="18"/>
              </w:rPr>
            </w:pPr>
            <w:r w:rsidRPr="00086489">
              <w:rPr>
                <w:sz w:val="18"/>
                <w:szCs w:val="18"/>
              </w:rPr>
              <w:lastRenderedPageBreak/>
              <w:t>D0264</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3A0D350" w14:textId="6A06B631" w:rsidR="00274F66" w:rsidRDefault="00086489">
            <w:pPr>
              <w:rPr>
                <w:sz w:val="18"/>
                <w:szCs w:val="18"/>
              </w:rPr>
            </w:pPr>
            <w:r w:rsidRPr="00086489">
              <w:rPr>
                <w:sz w:val="18"/>
                <w:szCs w:val="18"/>
              </w:rPr>
              <w:t>Mzda žien refundovaná z projektu (medián)</w:t>
            </w:r>
          </w:p>
        </w:tc>
        <w:tc>
          <w:tcPr>
            <w:tcW w:w="5501" w:type="dxa"/>
            <w:tcBorders>
              <w:top w:val="single" w:sz="4" w:space="0" w:color="auto"/>
              <w:left w:val="nil"/>
              <w:bottom w:val="single" w:sz="4" w:space="0" w:color="auto"/>
              <w:right w:val="single" w:sz="4" w:space="0" w:color="auto"/>
            </w:tcBorders>
            <w:shd w:val="clear" w:color="auto" w:fill="auto"/>
          </w:tcPr>
          <w:p w14:paraId="7BD797D3" w14:textId="64873864" w:rsidR="00274F66" w:rsidRDefault="00086489" w:rsidP="00662A37">
            <w:pPr>
              <w:rPr>
                <w:sz w:val="18"/>
                <w:szCs w:val="18"/>
              </w:rPr>
            </w:pPr>
            <w:r w:rsidRPr="00086489">
              <w:rPr>
                <w:sz w:val="18"/>
                <w:szCs w:val="18"/>
              </w:rPr>
              <w:t>Údaj vyjadruje medián (strednú hodnotu) priemerných mesačných miezd žien, refundovanú z projektu. Do údaju sa nezahŕňa mzda osôb, s ktorými bola uzavretá niektorá z dohôd o prácach vykonávanej mimo pracovného pomeru, mzda učníc a študentiek na prevádzkovej praxi, príjem súkromných podnikateliek (resp. ich spoločníkov, spoločníčok), ktoré nemajú uzavretú pracovnú zmluvu v danej organizácii.</w:t>
            </w:r>
          </w:p>
        </w:tc>
        <w:tc>
          <w:tcPr>
            <w:tcW w:w="2103" w:type="dxa"/>
            <w:tcBorders>
              <w:top w:val="single" w:sz="4" w:space="0" w:color="auto"/>
              <w:left w:val="nil"/>
              <w:bottom w:val="single" w:sz="4" w:space="0" w:color="auto"/>
              <w:right w:val="single" w:sz="4" w:space="0" w:color="auto"/>
            </w:tcBorders>
            <w:shd w:val="clear" w:color="auto" w:fill="auto"/>
          </w:tcPr>
          <w:p w14:paraId="18E882D9" w14:textId="259B7E10" w:rsidR="00274F66" w:rsidRDefault="00086489">
            <w:pPr>
              <w:rPr>
                <w:sz w:val="18"/>
                <w:szCs w:val="18"/>
              </w:rPr>
            </w:pPr>
            <w:r>
              <w:rPr>
                <w:color w:val="000000"/>
                <w:sz w:val="18"/>
                <w:szCs w:val="18"/>
              </w:rPr>
              <w:t>Eur</w:t>
            </w:r>
          </w:p>
        </w:tc>
        <w:tc>
          <w:tcPr>
            <w:tcW w:w="1420" w:type="dxa"/>
            <w:tcBorders>
              <w:top w:val="single" w:sz="4" w:space="0" w:color="auto"/>
              <w:left w:val="nil"/>
              <w:bottom w:val="single" w:sz="4" w:space="0" w:color="auto"/>
              <w:right w:val="single" w:sz="4" w:space="0" w:color="auto"/>
            </w:tcBorders>
            <w:shd w:val="clear" w:color="auto" w:fill="auto"/>
          </w:tcPr>
          <w:p w14:paraId="2AF088CA" w14:textId="67A2F2A3" w:rsidR="00274F66" w:rsidRDefault="000F3FB0">
            <w:pPr>
              <w:rPr>
                <w:color w:val="000000"/>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68BC6B92" w14:textId="77777777" w:rsidR="00274F66" w:rsidRDefault="00411445">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1F77B71A" w14:textId="3FC835C0" w:rsidR="00274F66" w:rsidRDefault="00086489">
            <w:pPr>
              <w:rPr>
                <w:sz w:val="18"/>
                <w:szCs w:val="18"/>
              </w:rPr>
            </w:pPr>
            <w:r w:rsidRPr="004A68F0">
              <w:rPr>
                <w:sz w:val="18"/>
                <w:szCs w:val="18"/>
              </w:rPr>
              <w:t>RMŽaND</w:t>
            </w:r>
          </w:p>
        </w:tc>
      </w:tr>
      <w:tr w:rsidR="00086489" w:rsidRPr="009E274E" w14:paraId="6253F52A" w14:textId="77777777" w:rsidTr="00086489">
        <w:trPr>
          <w:trHeight w:val="1672"/>
        </w:trPr>
        <w:tc>
          <w:tcPr>
            <w:tcW w:w="721" w:type="dxa"/>
            <w:tcBorders>
              <w:top w:val="single" w:sz="4" w:space="0" w:color="auto"/>
              <w:left w:val="single" w:sz="4" w:space="0" w:color="auto"/>
              <w:bottom w:val="single" w:sz="4" w:space="0" w:color="auto"/>
              <w:right w:val="single" w:sz="4" w:space="0" w:color="auto"/>
            </w:tcBorders>
            <w:shd w:val="clear" w:color="auto" w:fill="auto"/>
          </w:tcPr>
          <w:p w14:paraId="55D23969" w14:textId="0FD5A462" w:rsidR="00086489" w:rsidRPr="00086489" w:rsidRDefault="00086489">
            <w:pPr>
              <w:rPr>
                <w:sz w:val="18"/>
                <w:szCs w:val="18"/>
              </w:rPr>
            </w:pPr>
            <w:r w:rsidRPr="00086489">
              <w:rPr>
                <w:sz w:val="18"/>
                <w:szCs w:val="18"/>
              </w:rPr>
              <w:t>D0266</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CF14848" w14:textId="44BA6771" w:rsidR="00086489" w:rsidRPr="00086489" w:rsidRDefault="00086489">
            <w:pPr>
              <w:rPr>
                <w:sz w:val="18"/>
                <w:szCs w:val="18"/>
              </w:rPr>
            </w:pPr>
            <w:r w:rsidRPr="00086489">
              <w:rPr>
                <w:sz w:val="18"/>
                <w:szCs w:val="18"/>
              </w:rPr>
              <w:t xml:space="preserve">Podiel žien na riadiacich pozíciách projektu  </w:t>
            </w:r>
          </w:p>
        </w:tc>
        <w:tc>
          <w:tcPr>
            <w:tcW w:w="5501" w:type="dxa"/>
            <w:tcBorders>
              <w:top w:val="single" w:sz="4" w:space="0" w:color="auto"/>
              <w:left w:val="nil"/>
              <w:bottom w:val="single" w:sz="4" w:space="0" w:color="auto"/>
              <w:right w:val="single" w:sz="4" w:space="0" w:color="auto"/>
            </w:tcBorders>
            <w:shd w:val="clear" w:color="auto" w:fill="auto"/>
          </w:tcPr>
          <w:p w14:paraId="310563BA" w14:textId="77777777" w:rsidR="00086489" w:rsidRPr="00086489" w:rsidRDefault="00086489" w:rsidP="00086489">
            <w:pPr>
              <w:rPr>
                <w:sz w:val="18"/>
                <w:szCs w:val="18"/>
              </w:rPr>
            </w:pPr>
            <w:r w:rsidRPr="00086489">
              <w:rPr>
                <w:sz w:val="18"/>
                <w:szCs w:val="18"/>
              </w:rPr>
              <w:t>Údaj vyjadruje podiel žien na riadiacich pozíciách, zodpovedných za riadenie projektu, alebo časti projektu.</w:t>
            </w:r>
          </w:p>
          <w:p w14:paraId="36CF986F" w14:textId="77777777" w:rsidR="00086489" w:rsidRPr="00086489" w:rsidRDefault="00086489" w:rsidP="00086489">
            <w:pPr>
              <w:rPr>
                <w:sz w:val="18"/>
                <w:szCs w:val="18"/>
              </w:rPr>
            </w:pPr>
            <w:r w:rsidRPr="00086489">
              <w:rPr>
                <w:sz w:val="18"/>
                <w:szCs w:val="18"/>
              </w:rPr>
              <w:t>Za riadiacu pozíciu projektu sa považuje pozícia, z ktorej vyplývajú manažérske a koordinačné úlohy so zodpovednosťou za projekt ako celok, alebo jeho ucelenú čas (zväčša ide o pozície ako projektová manažérka, manažérka projektu, finančná manažérka, líniová manažérka, manažérka technického zabezpečenia projektu a pod.). Započítavajú sa riadiace pozície na projekte jednak za prijímateľa, ako aj partnerov projektu, avšak bez ohľadu na charakter pozície v danej organizácii (osoba, ktorá vykonáva manažérske a koordinačné úlohy v rámci riadenia projektu nemusí mať formálnu riadiacu, alebo vedúcu pozíciu v danej organizácii).</w:t>
            </w:r>
          </w:p>
          <w:p w14:paraId="4F6EFBE0" w14:textId="5517A733" w:rsidR="00086489" w:rsidRPr="00086489" w:rsidRDefault="00086489" w:rsidP="00086489">
            <w:pPr>
              <w:rPr>
                <w:sz w:val="18"/>
                <w:szCs w:val="18"/>
              </w:rPr>
            </w:pPr>
            <w:r w:rsidRPr="00086489">
              <w:rPr>
                <w:sz w:val="18"/>
                <w:szCs w:val="18"/>
              </w:rPr>
              <w:t>Metóda výpočtu: Podiel súčtu žien v riadiacich pozíciách projektu na celkovom počte osôb v riadiacich pozíciách projektu. Pokiaľ je jedna riadiaca pozícia obsadená 2 osobami na polovičný úväzok, do celkového počtu osôb v riadiacich pozíciách projektu sa započítava hodnota 2.</w:t>
            </w:r>
          </w:p>
        </w:tc>
        <w:tc>
          <w:tcPr>
            <w:tcW w:w="2103" w:type="dxa"/>
            <w:tcBorders>
              <w:top w:val="single" w:sz="4" w:space="0" w:color="auto"/>
              <w:left w:val="nil"/>
              <w:bottom w:val="single" w:sz="4" w:space="0" w:color="auto"/>
              <w:right w:val="single" w:sz="4" w:space="0" w:color="auto"/>
            </w:tcBorders>
            <w:shd w:val="clear" w:color="auto" w:fill="auto"/>
          </w:tcPr>
          <w:p w14:paraId="6FC194AB" w14:textId="0776374F" w:rsidR="00086489" w:rsidRDefault="00086489">
            <w:pPr>
              <w:rPr>
                <w:color w:val="000000"/>
                <w:sz w:val="18"/>
                <w:szCs w:val="18"/>
              </w:rPr>
            </w:pPr>
            <w:r>
              <w:rPr>
                <w:color w:val="000000"/>
                <w:sz w:val="18"/>
                <w:szCs w:val="18"/>
              </w:rPr>
              <w:t>%</w:t>
            </w:r>
          </w:p>
        </w:tc>
        <w:tc>
          <w:tcPr>
            <w:tcW w:w="1420" w:type="dxa"/>
            <w:tcBorders>
              <w:top w:val="single" w:sz="4" w:space="0" w:color="auto"/>
              <w:left w:val="nil"/>
              <w:bottom w:val="single" w:sz="4" w:space="0" w:color="auto"/>
              <w:right w:val="single" w:sz="4" w:space="0" w:color="auto"/>
            </w:tcBorders>
            <w:shd w:val="clear" w:color="auto" w:fill="auto"/>
          </w:tcPr>
          <w:p w14:paraId="70714B38" w14:textId="3C7B1834" w:rsidR="00086489" w:rsidRDefault="000F3FB0">
            <w:pPr>
              <w:rPr>
                <w:color w:val="000000"/>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455FA126" w14:textId="66BDE8CB" w:rsidR="00086489" w:rsidRDefault="00086489">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00B607C0" w14:textId="1E989215" w:rsidR="00086489" w:rsidRPr="004A68F0" w:rsidRDefault="00086489">
            <w:pPr>
              <w:rPr>
                <w:sz w:val="18"/>
                <w:szCs w:val="18"/>
              </w:rPr>
            </w:pPr>
            <w:r w:rsidRPr="004A68F0">
              <w:rPr>
                <w:sz w:val="18"/>
                <w:szCs w:val="18"/>
              </w:rPr>
              <w:t>RMŽaND</w:t>
            </w:r>
          </w:p>
        </w:tc>
      </w:tr>
      <w:tr w:rsidR="00086489" w:rsidRPr="009E274E" w14:paraId="377C3817" w14:textId="77777777" w:rsidTr="00086489">
        <w:trPr>
          <w:trHeight w:val="1672"/>
        </w:trPr>
        <w:tc>
          <w:tcPr>
            <w:tcW w:w="721" w:type="dxa"/>
            <w:tcBorders>
              <w:top w:val="single" w:sz="4" w:space="0" w:color="auto"/>
              <w:left w:val="single" w:sz="4" w:space="0" w:color="auto"/>
              <w:bottom w:val="single" w:sz="4" w:space="0" w:color="auto"/>
              <w:right w:val="single" w:sz="4" w:space="0" w:color="auto"/>
            </w:tcBorders>
            <w:shd w:val="clear" w:color="auto" w:fill="auto"/>
          </w:tcPr>
          <w:p w14:paraId="668BCB64" w14:textId="3E0D6113" w:rsidR="00086489" w:rsidRPr="00086489" w:rsidRDefault="00086489">
            <w:pPr>
              <w:rPr>
                <w:sz w:val="18"/>
                <w:szCs w:val="18"/>
              </w:rPr>
            </w:pPr>
            <w:r w:rsidRPr="00086489">
              <w:rPr>
                <w:sz w:val="18"/>
                <w:szCs w:val="18"/>
              </w:rPr>
              <w:t>D0267</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C06ABCC" w14:textId="33C937D1" w:rsidR="00086489" w:rsidRPr="00086489" w:rsidRDefault="00086489">
            <w:pPr>
              <w:rPr>
                <w:sz w:val="18"/>
                <w:szCs w:val="18"/>
              </w:rPr>
            </w:pPr>
            <w:r w:rsidRPr="00086489">
              <w:rPr>
                <w:sz w:val="18"/>
                <w:szCs w:val="18"/>
              </w:rPr>
              <w:t>Podiel žien na iných ako riadiacich pozíciách projektu</w:t>
            </w:r>
          </w:p>
        </w:tc>
        <w:tc>
          <w:tcPr>
            <w:tcW w:w="5501" w:type="dxa"/>
            <w:tcBorders>
              <w:top w:val="single" w:sz="4" w:space="0" w:color="auto"/>
              <w:left w:val="nil"/>
              <w:bottom w:val="single" w:sz="4" w:space="0" w:color="auto"/>
              <w:right w:val="single" w:sz="4" w:space="0" w:color="auto"/>
            </w:tcBorders>
            <w:shd w:val="clear" w:color="auto" w:fill="auto"/>
          </w:tcPr>
          <w:p w14:paraId="46F97D3D" w14:textId="26627CF3" w:rsidR="00086489" w:rsidRPr="00086489" w:rsidRDefault="00086489" w:rsidP="00662A37">
            <w:pPr>
              <w:rPr>
                <w:sz w:val="18"/>
                <w:szCs w:val="18"/>
              </w:rPr>
            </w:pPr>
            <w:r w:rsidRPr="00086489">
              <w:rPr>
                <w:sz w:val="18"/>
                <w:szCs w:val="18"/>
              </w:rPr>
              <w:t xml:space="preserve">Údaj vyjadruje podiel žien na iných než riadiacich, radových pozíciách projektu, ktoré nezodpovedajú za riadenie žiadnej časti projektu ani jeho celku. Započítavajú sa radové projektové pracovné pozície za prijímateľa aj partnerov projektu, však bez ohľadu na charakter pozície v danej organizácii (osoba v danej organizácii môže mať formálne riadiace alebo vedúce postavenie, avšak v rámci projektu vykonáva iné než riadiace </w:t>
            </w:r>
            <w:r w:rsidRPr="00086489">
              <w:rPr>
                <w:sz w:val="18"/>
                <w:szCs w:val="18"/>
              </w:rPr>
              <w:lastRenderedPageBreak/>
              <w:t>úlohy projektu).</w:t>
            </w:r>
          </w:p>
        </w:tc>
        <w:tc>
          <w:tcPr>
            <w:tcW w:w="2103" w:type="dxa"/>
            <w:tcBorders>
              <w:top w:val="single" w:sz="4" w:space="0" w:color="auto"/>
              <w:left w:val="nil"/>
              <w:bottom w:val="single" w:sz="4" w:space="0" w:color="auto"/>
              <w:right w:val="single" w:sz="4" w:space="0" w:color="auto"/>
            </w:tcBorders>
            <w:shd w:val="clear" w:color="auto" w:fill="auto"/>
          </w:tcPr>
          <w:p w14:paraId="6C46559D" w14:textId="5D3474C4" w:rsidR="00086489" w:rsidRDefault="00086489">
            <w:pPr>
              <w:rPr>
                <w:color w:val="000000"/>
                <w:sz w:val="18"/>
                <w:szCs w:val="18"/>
              </w:rPr>
            </w:pPr>
            <w:r>
              <w:rPr>
                <w:color w:val="000000"/>
                <w:sz w:val="18"/>
                <w:szCs w:val="18"/>
              </w:rPr>
              <w:lastRenderedPageBreak/>
              <w:t>%</w:t>
            </w:r>
          </w:p>
        </w:tc>
        <w:tc>
          <w:tcPr>
            <w:tcW w:w="1420" w:type="dxa"/>
            <w:tcBorders>
              <w:top w:val="single" w:sz="4" w:space="0" w:color="auto"/>
              <w:left w:val="nil"/>
              <w:bottom w:val="single" w:sz="4" w:space="0" w:color="auto"/>
              <w:right w:val="single" w:sz="4" w:space="0" w:color="auto"/>
            </w:tcBorders>
            <w:shd w:val="clear" w:color="auto" w:fill="auto"/>
          </w:tcPr>
          <w:p w14:paraId="614F5AAC" w14:textId="46169259" w:rsidR="00086489" w:rsidRDefault="000F3FB0">
            <w:pPr>
              <w:rPr>
                <w:color w:val="000000"/>
                <w:sz w:val="18"/>
                <w:szCs w:val="18"/>
              </w:rPr>
            </w:pPr>
            <w:r>
              <w:rPr>
                <w:sz w:val="18"/>
                <w:szCs w:val="18"/>
              </w:rPr>
              <w:t>N/A</w:t>
            </w:r>
          </w:p>
        </w:tc>
        <w:tc>
          <w:tcPr>
            <w:tcW w:w="1207" w:type="dxa"/>
            <w:tcBorders>
              <w:top w:val="single" w:sz="4" w:space="0" w:color="auto"/>
              <w:left w:val="nil"/>
              <w:bottom w:val="single" w:sz="4" w:space="0" w:color="auto"/>
              <w:right w:val="single" w:sz="4" w:space="0" w:color="auto"/>
            </w:tcBorders>
            <w:shd w:val="clear" w:color="auto" w:fill="auto"/>
          </w:tcPr>
          <w:p w14:paraId="3C56753E" w14:textId="0B8DC52A" w:rsidR="00086489" w:rsidRDefault="00086489">
            <w:pPr>
              <w:rPr>
                <w:sz w:val="18"/>
                <w:szCs w:val="18"/>
              </w:rPr>
            </w:pPr>
            <w:r>
              <w:rPr>
                <w:sz w:val="18"/>
                <w:szCs w:val="18"/>
              </w:rPr>
              <w:t>N/A</w:t>
            </w:r>
          </w:p>
        </w:tc>
        <w:tc>
          <w:tcPr>
            <w:tcW w:w="1133" w:type="dxa"/>
            <w:tcBorders>
              <w:top w:val="single" w:sz="4" w:space="0" w:color="auto"/>
              <w:left w:val="nil"/>
              <w:bottom w:val="single" w:sz="4" w:space="0" w:color="auto"/>
              <w:right w:val="single" w:sz="4" w:space="0" w:color="auto"/>
            </w:tcBorders>
            <w:shd w:val="clear" w:color="auto" w:fill="auto"/>
          </w:tcPr>
          <w:p w14:paraId="5BDC8F8F" w14:textId="58D19C19" w:rsidR="00086489" w:rsidRPr="004A68F0" w:rsidRDefault="00086489">
            <w:pPr>
              <w:rPr>
                <w:sz w:val="18"/>
                <w:szCs w:val="18"/>
              </w:rPr>
            </w:pPr>
            <w:r w:rsidRPr="004A68F0">
              <w:rPr>
                <w:sz w:val="18"/>
                <w:szCs w:val="18"/>
              </w:rPr>
              <w:t>RMŽaND</w:t>
            </w:r>
          </w:p>
        </w:tc>
      </w:tr>
    </w:tbl>
    <w:p w14:paraId="0A7BCCE5" w14:textId="77777777" w:rsidR="00AE2D1C" w:rsidRDefault="00AE2D1C">
      <w:pPr>
        <w:rPr>
          <w:rFonts w:ascii="Arial Narrow" w:hAnsi="Arial Narrow"/>
          <w:sz w:val="24"/>
          <w:szCs w:val="24"/>
        </w:rPr>
      </w:pPr>
    </w:p>
    <w:p w14:paraId="4A703413" w14:textId="77777777" w:rsidR="003628F3" w:rsidRDefault="003628F3">
      <w:pPr>
        <w:rPr>
          <w:rFonts w:ascii="Arial Narrow" w:hAnsi="Arial Narrow"/>
          <w:sz w:val="24"/>
          <w:szCs w:val="24"/>
        </w:rPr>
      </w:pPr>
    </w:p>
    <w:p w14:paraId="4D8A904C" w14:textId="77777777" w:rsidR="003628F3" w:rsidRPr="00AE2D1C" w:rsidRDefault="003628F3">
      <w:pPr>
        <w:rPr>
          <w:rFonts w:ascii="Arial Narrow" w:hAnsi="Arial Narrow"/>
          <w:sz w:val="24"/>
          <w:szCs w:val="24"/>
        </w:rPr>
      </w:pPr>
    </w:p>
    <w:sectPr w:rsidR="003628F3" w:rsidRPr="00AE2D1C" w:rsidSect="00086489">
      <w:pgSz w:w="16838" w:h="11906" w:orient="landscape"/>
      <w:pgMar w:top="226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0F5DE" w14:textId="77777777" w:rsidR="0063144E" w:rsidRDefault="0063144E" w:rsidP="001B120E">
      <w:pPr>
        <w:spacing w:after="0" w:line="240" w:lineRule="auto"/>
      </w:pPr>
      <w:r>
        <w:separator/>
      </w:r>
    </w:p>
  </w:endnote>
  <w:endnote w:type="continuationSeparator" w:id="0">
    <w:p w14:paraId="37C81C9A" w14:textId="77777777" w:rsidR="0063144E" w:rsidRDefault="0063144E" w:rsidP="001B1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AT">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4596218"/>
      <w:docPartObj>
        <w:docPartGallery w:val="Page Numbers (Bottom of Page)"/>
        <w:docPartUnique/>
      </w:docPartObj>
    </w:sdtPr>
    <w:sdtEndPr>
      <w:rPr>
        <w:rFonts w:ascii="Arial Narrow" w:hAnsi="Arial Narrow"/>
        <w:sz w:val="20"/>
      </w:rPr>
    </w:sdtEndPr>
    <w:sdtContent>
      <w:p w14:paraId="69B14FE6" w14:textId="52C04301" w:rsidR="00317D97" w:rsidRPr="00317D97" w:rsidRDefault="00317D97">
        <w:pPr>
          <w:pStyle w:val="Pta"/>
          <w:jc w:val="right"/>
          <w:rPr>
            <w:rFonts w:ascii="Arial Narrow" w:hAnsi="Arial Narrow"/>
            <w:sz w:val="20"/>
          </w:rPr>
        </w:pPr>
        <w:r w:rsidRPr="00317D97">
          <w:rPr>
            <w:rFonts w:ascii="Arial Narrow" w:hAnsi="Arial Narrow"/>
            <w:sz w:val="20"/>
          </w:rPr>
          <w:fldChar w:fldCharType="begin"/>
        </w:r>
        <w:r w:rsidRPr="00317D97">
          <w:rPr>
            <w:rFonts w:ascii="Arial Narrow" w:hAnsi="Arial Narrow"/>
            <w:sz w:val="20"/>
          </w:rPr>
          <w:instrText>PAGE   \* MERGEFORMAT</w:instrText>
        </w:r>
        <w:r w:rsidRPr="00317D97">
          <w:rPr>
            <w:rFonts w:ascii="Arial Narrow" w:hAnsi="Arial Narrow"/>
            <w:sz w:val="20"/>
          </w:rPr>
          <w:fldChar w:fldCharType="separate"/>
        </w:r>
        <w:r w:rsidR="00834BCB">
          <w:rPr>
            <w:rFonts w:ascii="Arial Narrow" w:hAnsi="Arial Narrow"/>
            <w:noProof/>
            <w:sz w:val="20"/>
          </w:rPr>
          <w:t>11</w:t>
        </w:r>
        <w:r w:rsidRPr="00317D97">
          <w:rPr>
            <w:rFonts w:ascii="Arial Narrow" w:hAnsi="Arial Narrow"/>
            <w:sz w:val="20"/>
          </w:rPr>
          <w:fldChar w:fldCharType="end"/>
        </w:r>
      </w:p>
    </w:sdtContent>
  </w:sdt>
  <w:p w14:paraId="5253116E" w14:textId="77777777" w:rsidR="00317D97" w:rsidRDefault="00317D9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40ED0" w14:textId="77777777" w:rsidR="0063144E" w:rsidRDefault="0063144E" w:rsidP="001B120E">
      <w:pPr>
        <w:spacing w:after="0" w:line="240" w:lineRule="auto"/>
      </w:pPr>
      <w:r>
        <w:separator/>
      </w:r>
    </w:p>
  </w:footnote>
  <w:footnote w:type="continuationSeparator" w:id="0">
    <w:p w14:paraId="7584BD18" w14:textId="77777777" w:rsidR="0063144E" w:rsidRDefault="0063144E" w:rsidP="001B1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E527F" w14:textId="32389D83" w:rsidR="00533DB3" w:rsidRDefault="00533DB3" w:rsidP="00533DB3">
    <w:pPr>
      <w:pStyle w:val="Hlavika"/>
      <w:jc w:val="right"/>
    </w:pPr>
    <w:r>
      <w:rPr>
        <w:noProof/>
        <w:lang w:eastAsia="sk-SK"/>
      </w:rPr>
      <w:drawing>
        <wp:inline distT="0" distB="0" distL="0" distR="0" wp14:anchorId="40FF7718" wp14:editId="238898A8">
          <wp:extent cx="5756910" cy="665480"/>
          <wp:effectExtent l="0" t="0" r="0" b="1270"/>
          <wp:docPr id="1" name="Obrázok 1" descr="loga_IRRVA_ER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_IRRVA_ER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65480"/>
                  </a:xfrm>
                  <a:prstGeom prst="rect">
                    <a:avLst/>
                  </a:prstGeom>
                  <a:noFill/>
                  <a:ln>
                    <a:noFill/>
                  </a:ln>
                </pic:spPr>
              </pic:pic>
            </a:graphicData>
          </a:graphic>
        </wp:inline>
      </w:drawing>
    </w:r>
  </w:p>
  <w:p w14:paraId="215F950D" w14:textId="77777777" w:rsidR="00533DB3" w:rsidRDefault="00533DB3" w:rsidP="00533DB3">
    <w:pPr>
      <w:pStyle w:val="Hlavika"/>
      <w:jc w:val="right"/>
    </w:pPr>
  </w:p>
  <w:p w14:paraId="2DD318E2" w14:textId="41FBEE7A" w:rsidR="00533DB3" w:rsidRDefault="00533DB3" w:rsidP="00533DB3">
    <w:pPr>
      <w:pStyle w:val="Hlavika"/>
      <w:jc w:val="right"/>
    </w:pPr>
    <w:r>
      <w:t>Príloha č. 5 k výzve č. INTERREG V-A SK-CZ/20</w:t>
    </w:r>
    <w:r w:rsidR="00834BCB">
      <w:t>21</w:t>
    </w:r>
    <w:r>
      <w:t>/1</w:t>
    </w:r>
    <w:r w:rsidR="00834BCB">
      <w:t>3</w:t>
    </w:r>
  </w:p>
  <w:p w14:paraId="5E71A165" w14:textId="77777777" w:rsidR="00533DB3" w:rsidRDefault="00533DB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16293"/>
    <w:multiLevelType w:val="hybridMultilevel"/>
    <w:tmpl w:val="3BBE66E8"/>
    <w:lvl w:ilvl="0" w:tplc="5B3EAC82">
      <w:start w:val="1"/>
      <w:numFmt w:val="decimal"/>
      <w:lvlText w:val="1.%1"/>
      <w:lvlJc w:val="left"/>
      <w:pPr>
        <w:ind w:left="720" w:hanging="360"/>
      </w:pPr>
      <w:rPr>
        <w:rFonts w:ascii="Arial Narrow" w:hAnsi="Arial Narrow"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527D5169"/>
    <w:multiLevelType w:val="hybridMultilevel"/>
    <w:tmpl w:val="EA10FB60"/>
    <w:lvl w:ilvl="0" w:tplc="654EE3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B21"/>
    <w:rsid w:val="00011B5D"/>
    <w:rsid w:val="0008502A"/>
    <w:rsid w:val="00086489"/>
    <w:rsid w:val="000A5167"/>
    <w:rsid w:val="000A68E8"/>
    <w:rsid w:val="000B3C87"/>
    <w:rsid w:val="000E3920"/>
    <w:rsid w:val="000F3FB0"/>
    <w:rsid w:val="000F4051"/>
    <w:rsid w:val="001207A3"/>
    <w:rsid w:val="00126967"/>
    <w:rsid w:val="00157934"/>
    <w:rsid w:val="00170C4B"/>
    <w:rsid w:val="00175376"/>
    <w:rsid w:val="001A77AA"/>
    <w:rsid w:val="001B120E"/>
    <w:rsid w:val="001F2B12"/>
    <w:rsid w:val="001F33CF"/>
    <w:rsid w:val="00207788"/>
    <w:rsid w:val="00224B8B"/>
    <w:rsid w:val="00242989"/>
    <w:rsid w:val="00251F13"/>
    <w:rsid w:val="00274F66"/>
    <w:rsid w:val="00284BB3"/>
    <w:rsid w:val="0028702E"/>
    <w:rsid w:val="002D152F"/>
    <w:rsid w:val="00317D97"/>
    <w:rsid w:val="00352A92"/>
    <w:rsid w:val="003628F3"/>
    <w:rsid w:val="00386D67"/>
    <w:rsid w:val="003A06E6"/>
    <w:rsid w:val="003A0F15"/>
    <w:rsid w:val="003C6967"/>
    <w:rsid w:val="003C7272"/>
    <w:rsid w:val="003D6B1F"/>
    <w:rsid w:val="004029A8"/>
    <w:rsid w:val="00411445"/>
    <w:rsid w:val="00416015"/>
    <w:rsid w:val="004253AF"/>
    <w:rsid w:val="00426C14"/>
    <w:rsid w:val="00447D86"/>
    <w:rsid w:val="00483D16"/>
    <w:rsid w:val="004A68F0"/>
    <w:rsid w:val="004A7503"/>
    <w:rsid w:val="004B536C"/>
    <w:rsid w:val="004B7B0F"/>
    <w:rsid w:val="004E468E"/>
    <w:rsid w:val="004F3883"/>
    <w:rsid w:val="00533DB3"/>
    <w:rsid w:val="0053658B"/>
    <w:rsid w:val="00545AAD"/>
    <w:rsid w:val="0059416C"/>
    <w:rsid w:val="005B12D4"/>
    <w:rsid w:val="00623224"/>
    <w:rsid w:val="00624545"/>
    <w:rsid w:val="0063144E"/>
    <w:rsid w:val="00632295"/>
    <w:rsid w:val="00657040"/>
    <w:rsid w:val="006814AA"/>
    <w:rsid w:val="00696964"/>
    <w:rsid w:val="006A1F05"/>
    <w:rsid w:val="006F7E81"/>
    <w:rsid w:val="007137DA"/>
    <w:rsid w:val="00731529"/>
    <w:rsid w:val="00786BC6"/>
    <w:rsid w:val="007B1095"/>
    <w:rsid w:val="007B71A6"/>
    <w:rsid w:val="00804F0D"/>
    <w:rsid w:val="00812C68"/>
    <w:rsid w:val="00834BCB"/>
    <w:rsid w:val="00880423"/>
    <w:rsid w:val="008A0CFA"/>
    <w:rsid w:val="008C5FC0"/>
    <w:rsid w:val="008F3FEA"/>
    <w:rsid w:val="008F5A86"/>
    <w:rsid w:val="009144E0"/>
    <w:rsid w:val="009477CE"/>
    <w:rsid w:val="00950FF0"/>
    <w:rsid w:val="009563B5"/>
    <w:rsid w:val="00976728"/>
    <w:rsid w:val="00993F9F"/>
    <w:rsid w:val="009A7757"/>
    <w:rsid w:val="009B41DE"/>
    <w:rsid w:val="009B6FDC"/>
    <w:rsid w:val="009C51B0"/>
    <w:rsid w:val="009E274E"/>
    <w:rsid w:val="00A15892"/>
    <w:rsid w:val="00A30F27"/>
    <w:rsid w:val="00A403DB"/>
    <w:rsid w:val="00A474F5"/>
    <w:rsid w:val="00A50438"/>
    <w:rsid w:val="00A808FC"/>
    <w:rsid w:val="00AC0793"/>
    <w:rsid w:val="00AD1AD8"/>
    <w:rsid w:val="00AE2D1C"/>
    <w:rsid w:val="00B53367"/>
    <w:rsid w:val="00B924D9"/>
    <w:rsid w:val="00BA3744"/>
    <w:rsid w:val="00BB0363"/>
    <w:rsid w:val="00BB637D"/>
    <w:rsid w:val="00BD780E"/>
    <w:rsid w:val="00C02ABA"/>
    <w:rsid w:val="00C0472B"/>
    <w:rsid w:val="00C66335"/>
    <w:rsid w:val="00C76835"/>
    <w:rsid w:val="00CA1C04"/>
    <w:rsid w:val="00CB4B8B"/>
    <w:rsid w:val="00CB4C3E"/>
    <w:rsid w:val="00CB7401"/>
    <w:rsid w:val="00CD0B83"/>
    <w:rsid w:val="00CD322B"/>
    <w:rsid w:val="00CE149A"/>
    <w:rsid w:val="00CE4FAD"/>
    <w:rsid w:val="00CE63D4"/>
    <w:rsid w:val="00D12133"/>
    <w:rsid w:val="00D82EDD"/>
    <w:rsid w:val="00D832AC"/>
    <w:rsid w:val="00D9750D"/>
    <w:rsid w:val="00DE1202"/>
    <w:rsid w:val="00E16B53"/>
    <w:rsid w:val="00E34F3B"/>
    <w:rsid w:val="00E60B21"/>
    <w:rsid w:val="00E77981"/>
    <w:rsid w:val="00EA2DFF"/>
    <w:rsid w:val="00EE5734"/>
    <w:rsid w:val="00EF0C6E"/>
    <w:rsid w:val="00F059A5"/>
    <w:rsid w:val="00F53063"/>
    <w:rsid w:val="00FC557A"/>
    <w:rsid w:val="00FD2A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0F4EA"/>
  <w15:docId w15:val="{95AD0AB1-E236-4E68-9202-3F64DCDC3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B7401"/>
    <w:rPr>
      <w:rFonts w:ascii="Calibri" w:hAnsi="Calibri"/>
    </w:rPr>
  </w:style>
  <w:style w:type="paragraph" w:styleId="Nadpis1">
    <w:name w:val="heading 1"/>
    <w:basedOn w:val="Normlny"/>
    <w:next w:val="Normlny"/>
    <w:link w:val="Nadpis1Char"/>
    <w:autoRedefine/>
    <w:uiPriority w:val="9"/>
    <w:qFormat/>
    <w:rsid w:val="00CB7401"/>
    <w:pPr>
      <w:keepNext/>
      <w:keepLines/>
      <w:suppressAutoHyphens/>
      <w:spacing w:after="0" w:line="240" w:lineRule="auto"/>
      <w:ind w:left="720" w:hanging="360"/>
      <w:outlineLvl w:val="0"/>
    </w:pPr>
    <w:rPr>
      <w:rFonts w:ascii="Arial Narrow" w:hAnsi="Arial Narrow" w:cs="Times New Roman"/>
      <w:b/>
      <w:bCs/>
      <w:caps/>
      <w:kern w:val="32"/>
      <w:sz w:val="28"/>
      <w:szCs w:val="24"/>
    </w:rPr>
  </w:style>
  <w:style w:type="paragraph" w:styleId="Nadpis2">
    <w:name w:val="heading 2"/>
    <w:basedOn w:val="Normlny"/>
    <w:next w:val="Normlny"/>
    <w:link w:val="Nadpis2Char"/>
    <w:uiPriority w:val="9"/>
    <w:unhideWhenUsed/>
    <w:qFormat/>
    <w:rsid w:val="00CB7401"/>
    <w:pPr>
      <w:keepNext/>
      <w:spacing w:before="240" w:after="60"/>
      <w:outlineLvl w:val="1"/>
    </w:pPr>
    <w:rPr>
      <w:rFonts w:ascii="Cambria" w:eastAsia="Times New Roman" w:hAnsi="Cambria" w:cs="Times New Roman"/>
      <w:b/>
      <w:bCs/>
      <w:i/>
      <w:iCs/>
      <w:sz w:val="28"/>
      <w:szCs w:val="28"/>
    </w:rPr>
  </w:style>
  <w:style w:type="paragraph" w:styleId="Nadpis3">
    <w:name w:val="heading 3"/>
    <w:basedOn w:val="Normlny"/>
    <w:next w:val="Normlny"/>
    <w:link w:val="Nadpis3Char"/>
    <w:uiPriority w:val="9"/>
    <w:unhideWhenUsed/>
    <w:qFormat/>
    <w:rsid w:val="00CB7401"/>
    <w:pPr>
      <w:keepNext/>
      <w:spacing w:before="240" w:after="60"/>
      <w:outlineLvl w:val="2"/>
    </w:pPr>
    <w:rPr>
      <w:rFonts w:ascii="Cambria" w:eastAsia="Times New Roman" w:hAnsi="Cambria" w:cs="Times New Roman"/>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B7401"/>
    <w:rPr>
      <w:rFonts w:ascii="Arial Narrow" w:eastAsia="Calibri" w:hAnsi="Arial Narrow" w:cs="Times New Roman"/>
      <w:b/>
      <w:bCs/>
      <w:caps/>
      <w:kern w:val="32"/>
      <w:sz w:val="28"/>
      <w:szCs w:val="24"/>
    </w:rPr>
  </w:style>
  <w:style w:type="character" w:customStyle="1" w:styleId="Nadpis2Char">
    <w:name w:val="Nadpis 2 Char"/>
    <w:basedOn w:val="Predvolenpsmoodseku"/>
    <w:link w:val="Nadpis2"/>
    <w:uiPriority w:val="9"/>
    <w:rsid w:val="00CB7401"/>
    <w:rPr>
      <w:rFonts w:ascii="Cambria" w:eastAsia="Times New Roman" w:hAnsi="Cambria" w:cs="Times New Roman"/>
      <w:b/>
      <w:bCs/>
      <w:i/>
      <w:iCs/>
      <w:sz w:val="28"/>
      <w:szCs w:val="28"/>
    </w:rPr>
  </w:style>
  <w:style w:type="character" w:customStyle="1" w:styleId="Nadpis3Char">
    <w:name w:val="Nadpis 3 Char"/>
    <w:basedOn w:val="Predvolenpsmoodseku"/>
    <w:link w:val="Nadpis3"/>
    <w:uiPriority w:val="9"/>
    <w:rsid w:val="00CB7401"/>
    <w:rPr>
      <w:rFonts w:ascii="Cambria" w:eastAsia="Times New Roman" w:hAnsi="Cambria" w:cs="Times New Roman"/>
      <w:b/>
      <w:bCs/>
      <w:sz w:val="26"/>
      <w:szCs w:val="26"/>
    </w:rPr>
  </w:style>
  <w:style w:type="paragraph" w:styleId="Textpoznmkypodiarou">
    <w:name w:val="footnote text"/>
    <w:aliases w:val="Fußnotentextf,Fuﬂnotentextf,Footnote Text Blue,Footnote,Schriftart: 9 pt,Schriftart: 10 pt,Schriftart: 8 pt,pozn. pod čarou,stile 1,Footnote1,Footnote2,Footnote3,Footnote4,Footnote5,Footnote6,Footnote7,Footnote8,Footnote9,f, Cha"/>
    <w:basedOn w:val="Normlny"/>
    <w:link w:val="TextpoznmkypodiarouChar"/>
    <w:qFormat/>
    <w:rsid w:val="00CB7401"/>
    <w:pPr>
      <w:suppressAutoHyphens/>
      <w:spacing w:after="0" w:line="240" w:lineRule="auto"/>
    </w:pPr>
    <w:rPr>
      <w:rFonts w:ascii="Times New Roman" w:eastAsia="Times New Roman" w:hAnsi="Times New Roman" w:cs="Times New Roman"/>
      <w:sz w:val="20"/>
      <w:szCs w:val="20"/>
      <w:lang w:eastAsia="ar-SA"/>
    </w:rPr>
  </w:style>
  <w:style w:type="character" w:customStyle="1" w:styleId="TextpoznmkypodiarouChar">
    <w:name w:val="Text poznámky pod čiarou Char"/>
    <w:aliases w:val="Fußnotentextf Char,Fuﬂnotentextf Char,Footnote Text Blue Char,Footnote Char,Schriftart: 9 pt Char,Schriftart: 10 pt Char,Schriftart: 8 pt Char,pozn. pod čarou Char,stile 1 Char,Footnote1 Char,Footnote2 Char,Footnote3 Char"/>
    <w:basedOn w:val="Predvolenpsmoodseku"/>
    <w:link w:val="Textpoznmkypodiarou"/>
    <w:rsid w:val="00CB7401"/>
    <w:rPr>
      <w:rFonts w:ascii="Times New Roman" w:eastAsia="Times New Roman" w:hAnsi="Times New Roman" w:cs="Times New Roman"/>
      <w:sz w:val="20"/>
      <w:szCs w:val="20"/>
      <w:lang w:eastAsia="ar-SA"/>
    </w:rPr>
  </w:style>
  <w:style w:type="paragraph" w:styleId="Podtitul">
    <w:name w:val="Subtitle"/>
    <w:basedOn w:val="Normlny"/>
    <w:next w:val="Normlny"/>
    <w:link w:val="PodtitulChar"/>
    <w:autoRedefine/>
    <w:uiPriority w:val="11"/>
    <w:qFormat/>
    <w:rsid w:val="00CB7401"/>
    <w:pPr>
      <w:ind w:left="720" w:hanging="360"/>
    </w:pPr>
    <w:rPr>
      <w:rFonts w:ascii="Arial Narrow" w:hAnsi="Arial Narrow" w:cstheme="majorBidi"/>
      <w:b/>
      <w:iCs/>
      <w:spacing w:val="15"/>
      <w:sz w:val="24"/>
      <w:szCs w:val="24"/>
    </w:rPr>
  </w:style>
  <w:style w:type="character" w:customStyle="1" w:styleId="PodtitulChar">
    <w:name w:val="Podtitul Char"/>
    <w:basedOn w:val="Predvolenpsmoodseku"/>
    <w:link w:val="Podtitul"/>
    <w:uiPriority w:val="11"/>
    <w:rsid w:val="00CB7401"/>
    <w:rPr>
      <w:rFonts w:ascii="Arial Narrow" w:eastAsia="Calibri" w:hAnsi="Arial Narrow" w:cstheme="majorBidi"/>
      <w:b/>
      <w:iCs/>
      <w:spacing w:val="15"/>
      <w:sz w:val="24"/>
      <w:szCs w:val="24"/>
    </w:rPr>
  </w:style>
  <w:style w:type="paragraph" w:styleId="Odsekzoznamu">
    <w:name w:val="List Paragraph"/>
    <w:aliases w:val="body,Odsek zoznamu2"/>
    <w:basedOn w:val="Normlny"/>
    <w:link w:val="OdsekzoznamuChar"/>
    <w:uiPriority w:val="34"/>
    <w:qFormat/>
    <w:rsid w:val="00CB7401"/>
    <w:pPr>
      <w:spacing w:before="120" w:after="120" w:line="288" w:lineRule="auto"/>
      <w:ind w:left="720"/>
      <w:contextualSpacing/>
      <w:jc w:val="both"/>
    </w:pPr>
    <w:rPr>
      <w:rFonts w:ascii="Trebuchet MS" w:eastAsia="Times New Roman" w:hAnsi="Trebuchet MS" w:cs="Times New Roman"/>
      <w:sz w:val="20"/>
      <w:szCs w:val="24"/>
      <w:lang w:eastAsia="de-AT"/>
    </w:rPr>
  </w:style>
  <w:style w:type="character" w:customStyle="1" w:styleId="OdsekzoznamuChar">
    <w:name w:val="Odsek zoznamu Char"/>
    <w:aliases w:val="body Char,Odsek zoznamu2 Char"/>
    <w:link w:val="Odsekzoznamu"/>
    <w:uiPriority w:val="34"/>
    <w:rsid w:val="00CB7401"/>
    <w:rPr>
      <w:rFonts w:ascii="Trebuchet MS" w:eastAsia="Times New Roman" w:hAnsi="Trebuchet MS" w:cs="Times New Roman"/>
      <w:sz w:val="20"/>
      <w:szCs w:val="24"/>
      <w:lang w:eastAsia="de-AT"/>
    </w:rPr>
  </w:style>
  <w:style w:type="table" w:styleId="Mriekatabuky">
    <w:name w:val="Table Grid"/>
    <w:basedOn w:val="Normlnatabuka"/>
    <w:uiPriority w:val="59"/>
    <w:rsid w:val="00632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59"/>
    <w:rsid w:val="00AE2D1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AE2D1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2133"/>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1B120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B120E"/>
    <w:rPr>
      <w:rFonts w:ascii="Calibri" w:hAnsi="Calibri"/>
    </w:rPr>
  </w:style>
  <w:style w:type="paragraph" w:styleId="Pta">
    <w:name w:val="footer"/>
    <w:basedOn w:val="Normlny"/>
    <w:link w:val="PtaChar"/>
    <w:uiPriority w:val="99"/>
    <w:unhideWhenUsed/>
    <w:rsid w:val="001B120E"/>
    <w:pPr>
      <w:tabs>
        <w:tab w:val="center" w:pos="4536"/>
        <w:tab w:val="right" w:pos="9072"/>
      </w:tabs>
      <w:spacing w:after="0" w:line="240" w:lineRule="auto"/>
    </w:pPr>
  </w:style>
  <w:style w:type="character" w:customStyle="1" w:styleId="PtaChar">
    <w:name w:val="Päta Char"/>
    <w:basedOn w:val="Predvolenpsmoodseku"/>
    <w:link w:val="Pta"/>
    <w:uiPriority w:val="99"/>
    <w:rsid w:val="001B120E"/>
    <w:rPr>
      <w:rFonts w:ascii="Calibri" w:hAnsi="Calibri"/>
    </w:rPr>
  </w:style>
  <w:style w:type="paragraph" w:styleId="Textbubliny">
    <w:name w:val="Balloon Text"/>
    <w:basedOn w:val="Normlny"/>
    <w:link w:val="TextbublinyChar"/>
    <w:uiPriority w:val="99"/>
    <w:semiHidden/>
    <w:unhideWhenUsed/>
    <w:rsid w:val="001B120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B120E"/>
    <w:rPr>
      <w:rFonts w:ascii="Tahoma" w:hAnsi="Tahoma" w:cs="Tahoma"/>
      <w:sz w:val="16"/>
      <w:szCs w:val="16"/>
    </w:rPr>
  </w:style>
  <w:style w:type="paragraph" w:customStyle="1" w:styleId="NormalAgri">
    <w:name w:val="NormalAgri"/>
    <w:basedOn w:val="Normlny"/>
    <w:rsid w:val="0059416C"/>
    <w:pPr>
      <w:overflowPunct w:val="0"/>
      <w:autoSpaceDE w:val="0"/>
      <w:autoSpaceDN w:val="0"/>
      <w:adjustRightInd w:val="0"/>
      <w:spacing w:before="120" w:after="0" w:line="270" w:lineRule="atLeast"/>
      <w:jc w:val="both"/>
      <w:textAlignment w:val="baseline"/>
    </w:pPr>
    <w:rPr>
      <w:rFonts w:ascii="Swis721 AT" w:eastAsia="Times New Roman" w:hAnsi="Swis721 AT" w:cs="Swis721 AT"/>
      <w:color w:val="000000"/>
      <w:sz w:val="21"/>
      <w:szCs w:val="21"/>
      <w:lang w:val="cs-CZ" w:eastAsia="sk-SK"/>
    </w:rPr>
  </w:style>
  <w:style w:type="paragraph" w:customStyle="1" w:styleId="TextNOK">
    <w:name w:val="Text NOK"/>
    <w:basedOn w:val="Normlny"/>
    <w:link w:val="TextNOKChar"/>
    <w:qFormat/>
    <w:rsid w:val="00A808FC"/>
    <w:pPr>
      <w:spacing w:before="120" w:after="120"/>
      <w:jc w:val="both"/>
    </w:pPr>
    <w:rPr>
      <w:rFonts w:asciiTheme="minorHAnsi" w:eastAsia="SimSun" w:hAnsiTheme="minorHAnsi" w:cs="Times New Roman"/>
      <w:lang w:val="cs-CZ" w:eastAsia="cs-CZ"/>
    </w:rPr>
  </w:style>
  <w:style w:type="character" w:customStyle="1" w:styleId="TextNOKChar">
    <w:name w:val="Text NOK Char"/>
    <w:basedOn w:val="Predvolenpsmoodseku"/>
    <w:link w:val="TextNOK"/>
    <w:rsid w:val="00A808FC"/>
    <w:rPr>
      <w:rFonts w:eastAsia="SimSun" w:cs="Times New Roman"/>
      <w:lang w:val="cs-CZ" w:eastAsia="cs-CZ"/>
    </w:rPr>
  </w:style>
  <w:style w:type="paragraph" w:customStyle="1" w:styleId="Odsekzoznamu1">
    <w:name w:val="Odsek zoznamu1"/>
    <w:basedOn w:val="Normlny"/>
    <w:link w:val="ListParagraphChar"/>
    <w:rsid w:val="00804F0D"/>
    <w:pPr>
      <w:spacing w:after="0" w:line="240" w:lineRule="auto"/>
      <w:ind w:left="720"/>
      <w:contextualSpacing/>
    </w:pPr>
    <w:rPr>
      <w:rFonts w:ascii="Times New Roman" w:hAnsi="Times New Roman" w:cs="Times New Roman"/>
      <w:sz w:val="24"/>
      <w:szCs w:val="24"/>
      <w:lang w:eastAsia="sk-SK"/>
    </w:rPr>
  </w:style>
  <w:style w:type="character" w:customStyle="1" w:styleId="ListParagraphChar">
    <w:name w:val="List Paragraph Char"/>
    <w:link w:val="Odsekzoznamu1"/>
    <w:locked/>
    <w:rsid w:val="00804F0D"/>
    <w:rPr>
      <w:rFonts w:ascii="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3D6B1F"/>
    <w:rPr>
      <w:sz w:val="16"/>
      <w:szCs w:val="16"/>
    </w:rPr>
  </w:style>
  <w:style w:type="paragraph" w:styleId="Textkomentra">
    <w:name w:val="annotation text"/>
    <w:basedOn w:val="Normlny"/>
    <w:link w:val="TextkomentraChar"/>
    <w:uiPriority w:val="99"/>
    <w:semiHidden/>
    <w:unhideWhenUsed/>
    <w:rsid w:val="003D6B1F"/>
    <w:pPr>
      <w:spacing w:line="240" w:lineRule="auto"/>
    </w:pPr>
    <w:rPr>
      <w:sz w:val="20"/>
      <w:szCs w:val="20"/>
    </w:rPr>
  </w:style>
  <w:style w:type="character" w:customStyle="1" w:styleId="TextkomentraChar">
    <w:name w:val="Text komentára Char"/>
    <w:basedOn w:val="Predvolenpsmoodseku"/>
    <w:link w:val="Textkomentra"/>
    <w:uiPriority w:val="99"/>
    <w:semiHidden/>
    <w:rsid w:val="003D6B1F"/>
    <w:rPr>
      <w:rFonts w:ascii="Calibri" w:hAnsi="Calibri"/>
      <w:sz w:val="20"/>
      <w:szCs w:val="20"/>
    </w:rPr>
  </w:style>
  <w:style w:type="paragraph" w:styleId="Predmetkomentra">
    <w:name w:val="annotation subject"/>
    <w:basedOn w:val="Textkomentra"/>
    <w:next w:val="Textkomentra"/>
    <w:link w:val="PredmetkomentraChar"/>
    <w:uiPriority w:val="99"/>
    <w:semiHidden/>
    <w:unhideWhenUsed/>
    <w:rsid w:val="003D6B1F"/>
    <w:rPr>
      <w:b/>
      <w:bCs/>
    </w:rPr>
  </w:style>
  <w:style w:type="character" w:customStyle="1" w:styleId="PredmetkomentraChar">
    <w:name w:val="Predmet komentára Char"/>
    <w:basedOn w:val="TextkomentraChar"/>
    <w:link w:val="Predmetkomentra"/>
    <w:uiPriority w:val="99"/>
    <w:semiHidden/>
    <w:rsid w:val="003D6B1F"/>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1857">
      <w:bodyDiv w:val="1"/>
      <w:marLeft w:val="0"/>
      <w:marRight w:val="0"/>
      <w:marTop w:val="0"/>
      <w:marBottom w:val="0"/>
      <w:divBdr>
        <w:top w:val="none" w:sz="0" w:space="0" w:color="auto"/>
        <w:left w:val="none" w:sz="0" w:space="0" w:color="auto"/>
        <w:bottom w:val="none" w:sz="0" w:space="0" w:color="auto"/>
        <w:right w:val="none" w:sz="0" w:space="0" w:color="auto"/>
      </w:divBdr>
    </w:div>
    <w:div w:id="147480859">
      <w:bodyDiv w:val="1"/>
      <w:marLeft w:val="0"/>
      <w:marRight w:val="0"/>
      <w:marTop w:val="0"/>
      <w:marBottom w:val="0"/>
      <w:divBdr>
        <w:top w:val="none" w:sz="0" w:space="0" w:color="auto"/>
        <w:left w:val="none" w:sz="0" w:space="0" w:color="auto"/>
        <w:bottom w:val="none" w:sz="0" w:space="0" w:color="auto"/>
        <w:right w:val="none" w:sz="0" w:space="0" w:color="auto"/>
      </w:divBdr>
    </w:div>
    <w:div w:id="181289161">
      <w:bodyDiv w:val="1"/>
      <w:marLeft w:val="0"/>
      <w:marRight w:val="0"/>
      <w:marTop w:val="0"/>
      <w:marBottom w:val="0"/>
      <w:divBdr>
        <w:top w:val="none" w:sz="0" w:space="0" w:color="auto"/>
        <w:left w:val="none" w:sz="0" w:space="0" w:color="auto"/>
        <w:bottom w:val="none" w:sz="0" w:space="0" w:color="auto"/>
        <w:right w:val="none" w:sz="0" w:space="0" w:color="auto"/>
      </w:divBdr>
    </w:div>
    <w:div w:id="458454848">
      <w:bodyDiv w:val="1"/>
      <w:marLeft w:val="0"/>
      <w:marRight w:val="0"/>
      <w:marTop w:val="0"/>
      <w:marBottom w:val="0"/>
      <w:divBdr>
        <w:top w:val="none" w:sz="0" w:space="0" w:color="auto"/>
        <w:left w:val="none" w:sz="0" w:space="0" w:color="auto"/>
        <w:bottom w:val="none" w:sz="0" w:space="0" w:color="auto"/>
        <w:right w:val="none" w:sz="0" w:space="0" w:color="auto"/>
      </w:divBdr>
    </w:div>
    <w:div w:id="543174774">
      <w:bodyDiv w:val="1"/>
      <w:marLeft w:val="0"/>
      <w:marRight w:val="0"/>
      <w:marTop w:val="0"/>
      <w:marBottom w:val="0"/>
      <w:divBdr>
        <w:top w:val="none" w:sz="0" w:space="0" w:color="auto"/>
        <w:left w:val="none" w:sz="0" w:space="0" w:color="auto"/>
        <w:bottom w:val="none" w:sz="0" w:space="0" w:color="auto"/>
        <w:right w:val="none" w:sz="0" w:space="0" w:color="auto"/>
      </w:divBdr>
    </w:div>
    <w:div w:id="1071545324">
      <w:bodyDiv w:val="1"/>
      <w:marLeft w:val="0"/>
      <w:marRight w:val="0"/>
      <w:marTop w:val="0"/>
      <w:marBottom w:val="0"/>
      <w:divBdr>
        <w:top w:val="none" w:sz="0" w:space="0" w:color="auto"/>
        <w:left w:val="none" w:sz="0" w:space="0" w:color="auto"/>
        <w:bottom w:val="none" w:sz="0" w:space="0" w:color="auto"/>
        <w:right w:val="none" w:sz="0" w:space="0" w:color="auto"/>
      </w:divBdr>
    </w:div>
    <w:div w:id="1082752317">
      <w:bodyDiv w:val="1"/>
      <w:marLeft w:val="0"/>
      <w:marRight w:val="0"/>
      <w:marTop w:val="0"/>
      <w:marBottom w:val="0"/>
      <w:divBdr>
        <w:top w:val="none" w:sz="0" w:space="0" w:color="auto"/>
        <w:left w:val="none" w:sz="0" w:space="0" w:color="auto"/>
        <w:bottom w:val="none" w:sz="0" w:space="0" w:color="auto"/>
        <w:right w:val="none" w:sz="0" w:space="0" w:color="auto"/>
      </w:divBdr>
    </w:div>
    <w:div w:id="1140418096">
      <w:bodyDiv w:val="1"/>
      <w:marLeft w:val="0"/>
      <w:marRight w:val="0"/>
      <w:marTop w:val="0"/>
      <w:marBottom w:val="0"/>
      <w:divBdr>
        <w:top w:val="none" w:sz="0" w:space="0" w:color="auto"/>
        <w:left w:val="none" w:sz="0" w:space="0" w:color="auto"/>
        <w:bottom w:val="none" w:sz="0" w:space="0" w:color="auto"/>
        <w:right w:val="none" w:sz="0" w:space="0" w:color="auto"/>
      </w:divBdr>
    </w:div>
    <w:div w:id="1604342450">
      <w:bodyDiv w:val="1"/>
      <w:marLeft w:val="0"/>
      <w:marRight w:val="0"/>
      <w:marTop w:val="0"/>
      <w:marBottom w:val="0"/>
      <w:divBdr>
        <w:top w:val="none" w:sz="0" w:space="0" w:color="auto"/>
        <w:left w:val="none" w:sz="0" w:space="0" w:color="auto"/>
        <w:bottom w:val="none" w:sz="0" w:space="0" w:color="auto"/>
        <w:right w:val="none" w:sz="0" w:space="0" w:color="auto"/>
      </w:divBdr>
    </w:div>
    <w:div w:id="192337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85C1E-9E4B-4490-82D4-2848A9003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2856</Words>
  <Characters>16284</Characters>
  <Application>Microsoft Office Word</Application>
  <DocSecurity>0</DocSecurity>
  <Lines>135</Lines>
  <Paragraphs>38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MPRR SR</Company>
  <LinksUpToDate>false</LinksUpToDate>
  <CharactersWithSpaces>19102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Cimová Vladena</dc:creator>
  <cp:lastModifiedBy>Štrbková Michaela</cp:lastModifiedBy>
  <cp:revision>17</cp:revision>
  <dcterms:created xsi:type="dcterms:W3CDTF">2017-06-16T10:25:00Z</dcterms:created>
  <dcterms:modified xsi:type="dcterms:W3CDTF">2021-03-16T07:11:00Z</dcterms:modified>
</cp:coreProperties>
</file>